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overflowPunct w:val="false"/>
        <w:snapToGrid w:val="false"/>
        <w:spacing w:lineRule="atLeast" w:line="240" w:before="0" w:after="280"/>
        <w:jc w:val="both"/>
        <w:rPr>
          <w:rFonts w:ascii="標楷體" w:hAnsi="標楷體" w:eastAsia="標楷體" w:cs="標楷體"/>
          <w:sz w:val="40"/>
        </w:rPr>
      </w:pPr>
      <w:r>
        <w:rPr>
          <w:rFonts w:ascii="標楷體" w:hAnsi="標楷體" w:cs="標楷體" w:eastAsia="標楷體"/>
          <w:sz w:val="40"/>
        </w:rPr>
        <w:t>民生必需品短缺時期配給配售辦法修正條文</w:t>
      </w:r>
    </w:p>
    <w:p>
      <w:pPr>
        <w:pStyle w:val="Standard"/>
        <w:overflowPunct w:val="false"/>
        <w:snapToGrid w:val="false"/>
        <w:spacing w:lineRule="atLeast" w:line="240"/>
        <w:ind w:hanging="960" w:left="960" w:right="0"/>
        <w:jc w:val="both"/>
        <w:rPr>
          <w:rFonts w:ascii="標楷體" w:hAnsi="標楷體" w:eastAsia="標楷體" w:cs="標楷體"/>
          <w:sz w:val="32"/>
          <w:szCs w:val="32"/>
        </w:rPr>
      </w:pPr>
      <w:r>
        <w:rPr>
          <w:rFonts w:ascii="標楷體" w:hAnsi="標楷體" w:cs="標楷體" w:eastAsia="標楷體"/>
          <w:sz w:val="32"/>
          <w:szCs w:val="32"/>
        </w:rPr>
        <w:t>第一條　　本辦法依據全民防衛動員準備法（以下簡稱本法）第十六條第三項規定訂定之。</w:t>
      </w:r>
    </w:p>
    <w:p>
      <w:pPr>
        <w:pStyle w:val="Standard"/>
        <w:overflowPunct w:val="false"/>
        <w:snapToGrid w:val="false"/>
        <w:spacing w:lineRule="atLeast" w:line="240"/>
        <w:ind w:hanging="960" w:left="960" w:right="0"/>
        <w:jc w:val="both"/>
        <w:rPr>
          <w:rFonts w:ascii="標楷體" w:hAnsi="標楷體" w:eastAsia="標楷體" w:cs="標楷體"/>
          <w:sz w:val="32"/>
          <w:szCs w:val="32"/>
        </w:rPr>
      </w:pPr>
      <w:r>
        <w:rPr>
          <w:rFonts w:ascii="標楷體" w:hAnsi="標楷體" w:cs="標楷體" w:eastAsia="標楷體"/>
          <w:sz w:val="32"/>
          <w:szCs w:val="32"/>
        </w:rPr>
        <w:t>第二條　　本辦法所稱民生必需品，指食米（以糙米為主）、食用油、食用鹽、嬰兒與較大嬰兒配方食品、液化石油氣及其他經民生必需品短缺時期配給配售準備計畫主管機關（以下簡稱主管機關）指定者。</w:t>
      </w:r>
    </w:p>
    <w:p>
      <w:pPr>
        <w:pStyle w:val="Standard"/>
        <w:overflowPunct w:val="false"/>
        <w:snapToGrid w:val="false"/>
        <w:spacing w:lineRule="atLeast" w:line="240"/>
        <w:ind w:firstLine="640" w:left="960" w:right="0"/>
        <w:jc w:val="both"/>
        <w:rPr>
          <w:rFonts w:ascii="標楷體" w:hAnsi="標楷體" w:eastAsia="標楷體" w:cs="標楷體"/>
          <w:sz w:val="32"/>
          <w:szCs w:val="32"/>
        </w:rPr>
      </w:pPr>
      <w:r>
        <w:rPr>
          <w:rFonts w:ascii="標楷體" w:hAnsi="標楷體" w:cs="標楷體" w:eastAsia="標楷體"/>
          <w:sz w:val="32"/>
          <w:szCs w:val="32"/>
        </w:rPr>
        <w:t>本辦法所稱時期，指本法第二條第二款之動員實施階段及本法施行細則第十一條第二項所稱之封鎖狀態。</w:t>
      </w:r>
    </w:p>
    <w:p>
      <w:pPr>
        <w:pStyle w:val="Standard"/>
        <w:overflowPunct w:val="false"/>
        <w:snapToGrid w:val="false"/>
        <w:spacing w:lineRule="atLeast" w:line="240"/>
        <w:ind w:firstLine="640" w:left="960" w:right="0"/>
        <w:jc w:val="both"/>
        <w:rPr>
          <w:rFonts w:ascii="標楷體" w:hAnsi="標楷體" w:eastAsia="標楷體" w:cs="標楷體"/>
          <w:sz w:val="32"/>
          <w:szCs w:val="32"/>
        </w:rPr>
      </w:pPr>
      <w:r>
        <w:rPr>
          <w:rFonts w:ascii="標楷體" w:hAnsi="標楷體" w:cs="標楷體" w:eastAsia="標楷體"/>
          <w:sz w:val="32"/>
          <w:szCs w:val="32"/>
        </w:rPr>
        <w:t>本辦法所稱配給，指國軍及其軍勤人員之實物配給。</w:t>
      </w:r>
    </w:p>
    <w:p>
      <w:pPr>
        <w:pStyle w:val="Standard"/>
        <w:overflowPunct w:val="false"/>
        <w:snapToGrid w:val="false"/>
        <w:spacing w:lineRule="atLeast" w:line="240"/>
        <w:ind w:firstLine="640" w:left="960" w:right="0"/>
        <w:jc w:val="both"/>
        <w:rPr>
          <w:rFonts w:ascii="標楷體" w:hAnsi="標楷體" w:eastAsia="標楷體" w:cs="標楷體"/>
          <w:sz w:val="32"/>
          <w:szCs w:val="32"/>
        </w:rPr>
      </w:pPr>
      <w:r>
        <w:rPr>
          <w:rFonts w:ascii="標楷體" w:hAnsi="標楷體" w:cs="標楷體" w:eastAsia="標楷體"/>
          <w:sz w:val="32"/>
          <w:szCs w:val="32"/>
        </w:rPr>
        <w:t>本辦法所稱配售，指對國軍及其軍勤人員以外之一般國民及特定人員實施民生必需品之有價配售。</w:t>
      </w:r>
    </w:p>
    <w:p>
      <w:pPr>
        <w:pStyle w:val="Standard"/>
        <w:overflowPunct w:val="false"/>
        <w:snapToGrid w:val="false"/>
        <w:spacing w:lineRule="atLeast" w:line="240"/>
        <w:ind w:firstLine="600" w:left="960" w:right="0"/>
        <w:jc w:val="both"/>
        <w:rPr>
          <w:rFonts w:ascii="標楷體" w:hAnsi="標楷體" w:eastAsia="標楷體" w:cs="標楷體"/>
          <w:sz w:val="32"/>
          <w:szCs w:val="32"/>
        </w:rPr>
      </w:pPr>
      <w:r>
        <w:rPr>
          <w:rFonts w:ascii="標楷體" w:hAnsi="標楷體" w:cs="標楷體" w:eastAsia="標楷體"/>
          <w:sz w:val="32"/>
          <w:szCs w:val="32"/>
        </w:rPr>
        <w:t>前項所稱特定人員，指駐華外交人員、商務代表、外僑及其眷屬。</w:t>
      </w:r>
    </w:p>
    <w:p>
      <w:pPr>
        <w:pStyle w:val="Standard"/>
        <w:overflowPunct w:val="false"/>
        <w:snapToGrid w:val="false"/>
        <w:ind w:hanging="960" w:left="960" w:right="0"/>
        <w:jc w:val="both"/>
        <w:rPr>
          <w:rFonts w:ascii="標楷體" w:hAnsi="標楷體" w:eastAsia="標楷體" w:cs="標楷體"/>
          <w:sz w:val="32"/>
          <w:szCs w:val="32"/>
        </w:rPr>
      </w:pPr>
      <w:r>
        <w:rPr>
          <w:rFonts w:ascii="標楷體" w:hAnsi="標楷體" w:cs="標楷體" w:eastAsia="標楷體"/>
          <w:sz w:val="32"/>
          <w:szCs w:val="32"/>
        </w:rPr>
        <w:t>第三條　　國軍及其軍勤人員實物配給作業，由國防部依權責及相關法令辦理。</w:t>
      </w:r>
    </w:p>
    <w:p>
      <w:pPr>
        <w:pStyle w:val="Standard"/>
        <w:overflowPunct w:val="false"/>
        <w:snapToGrid w:val="false"/>
        <w:ind w:hanging="960" w:left="960" w:right="0"/>
        <w:jc w:val="both"/>
        <w:rPr>
          <w:rFonts w:ascii="標楷體" w:hAnsi="標楷體" w:eastAsia="標楷體" w:cs="標楷體"/>
          <w:sz w:val="32"/>
          <w:szCs w:val="32"/>
        </w:rPr>
      </w:pPr>
      <w:r>
        <w:rPr>
          <w:rFonts w:ascii="標楷體" w:hAnsi="標楷體" w:cs="標楷體" w:eastAsia="標楷體"/>
          <w:sz w:val="32"/>
          <w:szCs w:val="32"/>
        </w:rPr>
        <w:t>第四條　　配售地區、品項及標準如下：</w:t>
      </w:r>
    </w:p>
    <w:p>
      <w:pPr>
        <w:pStyle w:val="Standard"/>
        <w:overflowPunct w:val="false"/>
        <w:snapToGrid w:val="false"/>
        <w:ind w:firstLine="600" w:left="960" w:right="0"/>
        <w:jc w:val="both"/>
        <w:rPr>
          <w:rFonts w:ascii="標楷體" w:hAnsi="標楷體" w:eastAsia="標楷體" w:cs="標楷體"/>
          <w:sz w:val="32"/>
          <w:szCs w:val="32"/>
        </w:rPr>
      </w:pPr>
      <w:r>
        <w:rPr>
          <w:rFonts w:ascii="標楷體" w:hAnsi="標楷體" w:cs="標楷體" w:eastAsia="標楷體"/>
          <w:sz w:val="32"/>
          <w:szCs w:val="32"/>
        </w:rPr>
        <w:t>一、配售地區：包括臺、澎、金、馬等地區。</w:t>
      </w:r>
    </w:p>
    <w:p>
      <w:pPr>
        <w:pStyle w:val="Standard"/>
        <w:overflowPunct w:val="false"/>
        <w:snapToGrid w:val="false"/>
        <w:ind w:hanging="680" w:left="2240" w:right="0"/>
        <w:jc w:val="both"/>
        <w:rPr>
          <w:rFonts w:ascii="標楷體" w:hAnsi="標楷體" w:eastAsia="標楷體" w:cs="標楷體"/>
          <w:sz w:val="32"/>
          <w:szCs w:val="32"/>
        </w:rPr>
      </w:pPr>
      <w:r>
        <w:rPr>
          <w:rFonts w:ascii="標楷體" w:hAnsi="標楷體" w:cs="標楷體" w:eastAsia="標楷體"/>
          <w:sz w:val="32"/>
          <w:szCs w:val="32"/>
        </w:rPr>
        <w:t>二、配售品項：如第二條第一項所稱之民生必需品。</w:t>
      </w:r>
    </w:p>
    <w:p>
      <w:pPr>
        <w:pStyle w:val="Standard"/>
        <w:overflowPunct w:val="false"/>
        <w:snapToGrid w:val="false"/>
        <w:ind w:hanging="160" w:left="1720" w:right="0"/>
        <w:jc w:val="both"/>
        <w:rPr>
          <w:rFonts w:ascii="標楷體" w:hAnsi="標楷體" w:eastAsia="標楷體" w:cs="標楷體"/>
          <w:sz w:val="32"/>
          <w:szCs w:val="32"/>
        </w:rPr>
      </w:pPr>
      <w:r>
        <w:rPr>
          <w:rFonts w:ascii="標楷體" w:hAnsi="標楷體" w:cs="標楷體" w:eastAsia="標楷體"/>
          <w:sz w:val="32"/>
          <w:szCs w:val="32"/>
        </w:rPr>
        <w:t>三、配售標準：如附表一。</w:t>
      </w:r>
    </w:p>
    <w:p>
      <w:pPr>
        <w:pStyle w:val="Standard"/>
        <w:overflowPunct w:val="false"/>
        <w:snapToGrid w:val="false"/>
        <w:ind w:hanging="640" w:left="2200" w:right="0"/>
        <w:jc w:val="both"/>
        <w:rPr>
          <w:rFonts w:ascii="標楷體" w:hAnsi="標楷體" w:eastAsia="標楷體" w:cs="標楷體"/>
          <w:sz w:val="32"/>
          <w:szCs w:val="32"/>
        </w:rPr>
      </w:pPr>
      <w:r>
        <w:rPr>
          <w:rFonts w:ascii="標楷體" w:hAnsi="標楷體" w:cs="標楷體" w:eastAsia="標楷體"/>
          <w:sz w:val="32"/>
          <w:szCs w:val="32"/>
        </w:rPr>
        <w:t>四、對使用天然氣用戶，各直轄市、縣（市）政府應研擬於天然氣中斷時之替代執行作為，並納入民生必需品短缺時期配售準備執行計畫（以下簡稱執行計畫）整備。</w:t>
      </w:r>
    </w:p>
    <w:p>
      <w:pPr>
        <w:pStyle w:val="Standard"/>
        <w:overflowPunct w:val="false"/>
        <w:snapToGrid w:val="false"/>
        <w:jc w:val="both"/>
        <w:rPr>
          <w:rFonts w:ascii="標楷體" w:hAnsi="標楷體" w:eastAsia="標楷體" w:cs="標楷體"/>
          <w:sz w:val="32"/>
          <w:szCs w:val="32"/>
        </w:rPr>
      </w:pPr>
      <w:r>
        <w:rPr>
          <w:rFonts w:ascii="標楷體" w:hAnsi="標楷體" w:cs="標楷體" w:eastAsia="標楷體"/>
          <w:sz w:val="32"/>
          <w:szCs w:val="32"/>
        </w:rPr>
        <w:t>第五條　　配售品項之安全存量如下：</w:t>
      </w:r>
    </w:p>
    <w:p>
      <w:pPr>
        <w:pStyle w:val="cjk"/>
        <w:overflowPunct w:val="false"/>
        <w:snapToGrid w:val="false"/>
        <w:spacing w:lineRule="atLeast" w:line="238" w:before="0" w:after="0"/>
        <w:ind w:firstLine="1440" w:left="120" w:right="0"/>
        <w:rPr>
          <w:sz w:val="32"/>
          <w:szCs w:val="32"/>
        </w:rPr>
      </w:pPr>
      <w:r>
        <w:rPr>
          <w:sz w:val="32"/>
          <w:szCs w:val="32"/>
        </w:rPr>
        <w:t>一、食米：三個月。</w:t>
      </w:r>
    </w:p>
    <w:p>
      <w:pPr>
        <w:pStyle w:val="cjk"/>
        <w:overflowPunct w:val="false"/>
        <w:snapToGrid w:val="false"/>
        <w:spacing w:lineRule="atLeast" w:line="238" w:before="0" w:after="0"/>
        <w:ind w:firstLine="1440" w:left="120" w:right="0"/>
        <w:rPr>
          <w:rFonts w:cs="Arial Unicode MS;Arial"/>
          <w:sz w:val="32"/>
          <w:szCs w:val="32"/>
        </w:rPr>
      </w:pPr>
      <w:r>
        <w:rPr>
          <w:rFonts w:cs="Arial Unicode MS;Arial"/>
          <w:sz w:val="32"/>
          <w:szCs w:val="32"/>
        </w:rPr>
        <w:t>二、食用油：</w:t>
      </w:r>
    </w:p>
    <w:p>
      <w:pPr>
        <w:pStyle w:val="Web"/>
        <w:overflowPunct w:val="false"/>
        <w:snapToGrid w:val="false"/>
        <w:spacing w:lineRule="atLeast" w:line="238" w:before="0" w:after="0"/>
        <w:ind w:firstLine="2080" w:left="120" w:right="0"/>
        <w:rPr>
          <w:rFonts w:ascii="標楷體" w:hAnsi="標楷體" w:eastAsia="標楷體" w:cs="標楷體"/>
          <w:sz w:val="32"/>
          <w:szCs w:val="32"/>
        </w:rPr>
      </w:pPr>
      <w:r>
        <w:rPr>
          <w:rFonts w:ascii="標楷體" w:hAnsi="標楷體" w:cs="標楷體" w:eastAsia="標楷體"/>
          <w:sz w:val="32"/>
          <w:szCs w:val="32"/>
        </w:rPr>
        <w:t>（一）成品：一個月。</w:t>
      </w:r>
    </w:p>
    <w:p>
      <w:pPr>
        <w:pStyle w:val="Web"/>
        <w:overflowPunct w:val="false"/>
        <w:snapToGrid w:val="false"/>
        <w:spacing w:lineRule="atLeast" w:line="238" w:before="0" w:after="0"/>
        <w:ind w:firstLine="2080" w:left="120" w:right="0"/>
        <w:rPr>
          <w:rFonts w:ascii="標楷體" w:hAnsi="標楷體" w:eastAsia="標楷體" w:cs="標楷體"/>
          <w:sz w:val="32"/>
          <w:szCs w:val="32"/>
        </w:rPr>
      </w:pPr>
      <w:r>
        <w:rPr>
          <w:rFonts w:ascii="標楷體" w:hAnsi="標楷體" w:cs="標楷體" w:eastAsia="標楷體"/>
          <w:sz w:val="32"/>
          <w:szCs w:val="32"/>
        </w:rPr>
        <w:t>（二）原料：二個月。</w:t>
      </w:r>
    </w:p>
    <w:p>
      <w:pPr>
        <w:pStyle w:val="Web"/>
        <w:overflowPunct w:val="false"/>
        <w:snapToGrid w:val="false"/>
        <w:spacing w:lineRule="atLeast" w:line="238" w:before="0" w:after="0"/>
        <w:ind w:firstLine="1600" w:left="0" w:right="0"/>
        <w:rPr>
          <w:rFonts w:ascii="標楷體" w:hAnsi="標楷體" w:eastAsia="標楷體" w:cs="標楷體"/>
          <w:sz w:val="32"/>
          <w:szCs w:val="32"/>
        </w:rPr>
      </w:pPr>
      <w:r>
        <w:rPr>
          <w:rFonts w:ascii="標楷體" w:hAnsi="標楷體" w:cs="標楷體" w:eastAsia="標楷體"/>
          <w:sz w:val="32"/>
          <w:szCs w:val="32"/>
        </w:rPr>
        <w:t>三、食用鹽：</w:t>
      </w:r>
    </w:p>
    <w:p>
      <w:pPr>
        <w:pStyle w:val="Web"/>
        <w:overflowPunct w:val="false"/>
        <w:snapToGrid w:val="false"/>
        <w:spacing w:lineRule="atLeast" w:line="238" w:before="0" w:after="0"/>
        <w:ind w:firstLine="2268" w:left="0" w:right="0"/>
        <w:rPr>
          <w:rFonts w:ascii="標楷體" w:hAnsi="標楷體" w:eastAsia="標楷體" w:cs="標楷體"/>
          <w:sz w:val="32"/>
          <w:szCs w:val="32"/>
        </w:rPr>
      </w:pPr>
      <w:r>
        <w:rPr>
          <w:rFonts w:ascii="標楷體" w:hAnsi="標楷體" w:cs="標楷體" w:eastAsia="標楷體"/>
          <w:sz w:val="32"/>
          <w:szCs w:val="32"/>
        </w:rPr>
        <w:t>（一）成品：一個月。</w:t>
      </w:r>
    </w:p>
    <w:p>
      <w:pPr>
        <w:pStyle w:val="Web"/>
        <w:overflowPunct w:val="false"/>
        <w:snapToGrid w:val="false"/>
        <w:spacing w:lineRule="atLeast" w:line="238" w:before="0" w:after="0"/>
        <w:ind w:firstLine="2240" w:left="0" w:right="0"/>
        <w:rPr>
          <w:rFonts w:ascii="標楷體" w:hAnsi="標楷體" w:eastAsia="標楷體" w:cs="標楷體"/>
          <w:sz w:val="32"/>
          <w:szCs w:val="32"/>
        </w:rPr>
      </w:pPr>
      <w:r>
        <w:rPr>
          <w:rFonts w:ascii="標楷體" w:hAnsi="標楷體" w:cs="標楷體" w:eastAsia="標楷體"/>
          <w:sz w:val="32"/>
          <w:szCs w:val="32"/>
        </w:rPr>
        <w:t>（二）原料：二個月。</w:t>
      </w:r>
    </w:p>
    <w:p>
      <w:pPr>
        <w:pStyle w:val="Web"/>
        <w:overflowPunct w:val="false"/>
        <w:snapToGrid w:val="false"/>
        <w:spacing w:lineRule="atLeast" w:line="238" w:before="0" w:after="0"/>
        <w:ind w:firstLine="1600" w:left="0" w:right="0"/>
        <w:rPr>
          <w:rFonts w:ascii="標楷體" w:hAnsi="標楷體" w:eastAsia="標楷體" w:cs="標楷體"/>
          <w:sz w:val="32"/>
          <w:szCs w:val="32"/>
        </w:rPr>
      </w:pPr>
      <w:r>
        <w:rPr>
          <w:rFonts w:ascii="標楷體" w:hAnsi="標楷體" w:cs="標楷體" w:eastAsia="標楷體"/>
          <w:sz w:val="32"/>
          <w:szCs w:val="32"/>
        </w:rPr>
        <w:t>四、嬰兒與較大嬰兒配方食品：三個月。</w:t>
      </w:r>
    </w:p>
    <w:p>
      <w:pPr>
        <w:pStyle w:val="Web"/>
        <w:overflowPunct w:val="false"/>
        <w:snapToGrid w:val="false"/>
        <w:spacing w:lineRule="atLeast" w:line="238" w:before="0" w:after="0"/>
        <w:ind w:firstLine="1600" w:left="0" w:right="0"/>
        <w:rPr>
          <w:rFonts w:ascii="標楷體" w:hAnsi="標楷體" w:eastAsia="標楷體" w:cs="標楷體"/>
          <w:sz w:val="32"/>
          <w:szCs w:val="32"/>
        </w:rPr>
      </w:pPr>
      <w:r>
        <w:rPr>
          <w:rFonts w:ascii="標楷體" w:hAnsi="標楷體" w:cs="標楷體" w:eastAsia="標楷體"/>
          <w:sz w:val="32"/>
          <w:szCs w:val="32"/>
        </w:rPr>
        <w:t>五、液化石油氣：前十二個月之平均銷售量及使用</w:t>
      </w:r>
    </w:p>
    <w:p>
      <w:pPr>
        <w:pStyle w:val="Web"/>
        <w:overflowPunct w:val="false"/>
        <w:snapToGrid w:val="false"/>
        <w:spacing w:lineRule="atLeast" w:line="238" w:before="0" w:after="0"/>
        <w:ind w:firstLine="2240" w:left="0" w:right="0"/>
        <w:rPr>
          <w:rFonts w:ascii="標楷體" w:hAnsi="標楷體" w:eastAsia="標楷體" w:cs="標楷體"/>
          <w:sz w:val="32"/>
          <w:szCs w:val="32"/>
        </w:rPr>
      </w:pPr>
      <w:r>
        <w:rPr>
          <w:rFonts w:ascii="標楷體" w:hAnsi="標楷體" w:cs="標楷體" w:eastAsia="標楷體"/>
          <w:sz w:val="32"/>
          <w:szCs w:val="32"/>
        </w:rPr>
        <w:t>量二十五天以上之數量。</w:t>
      </w:r>
    </w:p>
    <w:p>
      <w:pPr>
        <w:pStyle w:val="Web"/>
        <w:overflowPunct w:val="false"/>
        <w:snapToGrid w:val="false"/>
        <w:spacing w:lineRule="atLeast" w:line="238" w:before="0" w:after="0"/>
        <w:ind w:firstLine="640" w:left="960" w:right="0"/>
        <w:rPr>
          <w:rFonts w:ascii="標楷體" w:hAnsi="標楷體" w:eastAsia="標楷體" w:cs="標楷體"/>
          <w:sz w:val="32"/>
          <w:szCs w:val="32"/>
        </w:rPr>
      </w:pPr>
      <w:r>
        <w:rPr>
          <w:rFonts w:ascii="標楷體" w:hAnsi="標楷體" w:cs="標楷體" w:eastAsia="標楷體"/>
          <w:sz w:val="32"/>
          <w:szCs w:val="32"/>
        </w:rPr>
        <w:t>前項各款配售品項安全存量，分別由農業部農糧署、經濟部產業發展署、衛生福利部食品藥物管理署及經濟部能源署納入年度整備事項。</w:t>
      </w:r>
    </w:p>
    <w:p>
      <w:pPr>
        <w:pStyle w:val="cjk"/>
        <w:overflowPunct w:val="false"/>
        <w:snapToGrid w:val="false"/>
        <w:spacing w:lineRule="atLeast" w:line="238" w:before="0" w:after="0"/>
        <w:ind w:hanging="238" w:left="238" w:right="0"/>
        <w:rPr/>
      </w:pPr>
      <w:r>
        <w:rPr>
          <w:sz w:val="32"/>
          <w:szCs w:val="32"/>
        </w:rPr>
        <w:t>第六條</w:t>
      </w:r>
      <w:r>
        <w:rPr>
          <w:rFonts w:cs="標楷體"/>
          <w:sz w:val="32"/>
          <w:szCs w:val="32"/>
        </w:rPr>
        <w:t>　　</w:t>
      </w:r>
      <w:r>
        <w:rPr>
          <w:sz w:val="32"/>
          <w:szCs w:val="32"/>
        </w:rPr>
        <w:t>配售品項整備機關之權責區分如下：</w:t>
      </w:r>
    </w:p>
    <w:p>
      <w:pPr>
        <w:pStyle w:val="cjk"/>
        <w:overflowPunct w:val="false"/>
        <w:snapToGrid w:val="false"/>
        <w:spacing w:lineRule="atLeast" w:line="238" w:before="0" w:after="0"/>
        <w:ind w:hanging="680" w:left="2240" w:right="0"/>
        <w:rPr/>
      </w:pPr>
      <w:r>
        <w:rPr>
          <w:sz w:val="32"/>
          <w:szCs w:val="32"/>
        </w:rPr>
        <w:t>一、</w:t>
      </w:r>
      <w:r>
        <w:rPr>
          <w:rFonts w:cs="Arial Unicode MS;Arial"/>
          <w:sz w:val="32"/>
          <w:szCs w:val="32"/>
        </w:rPr>
        <w:t>農業部農糧署：負責督導所屬各分署及辦事處分區開設中央供應站供應食米</w:t>
      </w:r>
      <w:r>
        <w:rPr>
          <w:color w:val="000000"/>
          <w:sz w:val="32"/>
          <w:szCs w:val="32"/>
        </w:rPr>
        <w:t>。</w:t>
      </w:r>
    </w:p>
    <w:p>
      <w:pPr>
        <w:pStyle w:val="cjk"/>
        <w:overflowPunct w:val="false"/>
        <w:snapToGrid w:val="false"/>
        <w:spacing w:lineRule="atLeast" w:line="238" w:before="0" w:after="0"/>
        <w:ind w:hanging="680" w:left="2240" w:right="0"/>
        <w:rPr/>
      </w:pPr>
      <w:r>
        <w:rPr>
          <w:sz w:val="32"/>
          <w:szCs w:val="32"/>
        </w:rPr>
        <w:t>二、</w:t>
      </w:r>
      <w:r>
        <w:rPr>
          <w:rFonts w:cs="Arial Unicode MS;Arial"/>
          <w:sz w:val="32"/>
          <w:szCs w:val="32"/>
        </w:rPr>
        <w:t>經濟部產業發展署：負責督導公、民營產業分區開設中央供應站供應食用油及食用鹽</w:t>
      </w:r>
      <w:r>
        <w:rPr>
          <w:color w:val="000000"/>
          <w:sz w:val="32"/>
          <w:szCs w:val="32"/>
        </w:rPr>
        <w:t>。</w:t>
      </w:r>
    </w:p>
    <w:p>
      <w:pPr>
        <w:pStyle w:val="cjk"/>
        <w:overflowPunct w:val="false"/>
        <w:snapToGrid w:val="false"/>
        <w:spacing w:lineRule="atLeast" w:line="238" w:before="0" w:after="0"/>
        <w:ind w:hanging="680" w:left="2240" w:right="0"/>
        <w:rPr>
          <w:sz w:val="32"/>
          <w:szCs w:val="32"/>
        </w:rPr>
      </w:pPr>
      <w:r>
        <w:rPr>
          <w:sz w:val="32"/>
          <w:szCs w:val="32"/>
        </w:rPr>
        <w:t>三、衛生福利部食品藥物管理署：負責督導進口業者分區開設中央供應站供應嬰兒與較大嬰兒配方食品。</w:t>
      </w:r>
    </w:p>
    <w:p>
      <w:pPr>
        <w:pStyle w:val="cjk"/>
        <w:overflowPunct w:val="false"/>
        <w:snapToGrid w:val="false"/>
        <w:spacing w:lineRule="atLeast" w:line="238" w:before="0" w:after="0"/>
        <w:ind w:hanging="680" w:left="2240" w:right="0"/>
        <w:rPr>
          <w:sz w:val="32"/>
          <w:szCs w:val="32"/>
        </w:rPr>
      </w:pPr>
      <w:r>
        <w:rPr>
          <w:sz w:val="32"/>
          <w:szCs w:val="32"/>
        </w:rPr>
        <w:t>四、經濟部能源署：負責督導石油煉製業、輸入業及液化石油氣分裝業者分區開設中央供應站供應液化石油氣。</w:t>
      </w:r>
    </w:p>
    <w:p>
      <w:pPr>
        <w:pStyle w:val="cjk"/>
        <w:overflowPunct w:val="false"/>
        <w:snapToGrid w:val="false"/>
        <w:spacing w:lineRule="atLeast" w:line="238" w:before="0" w:after="0"/>
        <w:ind w:firstLine="1440" w:left="120" w:right="0"/>
        <w:rPr>
          <w:sz w:val="32"/>
          <w:szCs w:val="32"/>
        </w:rPr>
      </w:pPr>
      <w:r>
        <w:rPr>
          <w:sz w:val="32"/>
          <w:szCs w:val="32"/>
        </w:rPr>
        <w:t>前項各整備機關辦理事項如下：</w:t>
      </w:r>
    </w:p>
    <w:p>
      <w:pPr>
        <w:pStyle w:val="cjk"/>
        <w:overflowPunct w:val="false"/>
        <w:snapToGrid w:val="false"/>
        <w:spacing w:lineRule="atLeast" w:line="238" w:before="0" w:after="0"/>
        <w:ind w:hanging="640" w:left="2200" w:right="0"/>
        <w:rPr/>
      </w:pPr>
      <w:r>
        <w:rPr>
          <w:rFonts w:cs="Arial Unicode MS;Arial"/>
          <w:sz w:val="32"/>
          <w:szCs w:val="32"/>
        </w:rPr>
        <w:t>一、</w:t>
      </w:r>
      <w:r>
        <w:rPr>
          <w:color w:val="000000"/>
          <w:sz w:val="32"/>
          <w:szCs w:val="32"/>
        </w:rPr>
        <w:t>訂定配售品項之安全存量、盤點實際庫存總量</w:t>
      </w:r>
      <w:r>
        <w:rPr>
          <w:rFonts w:cs="Arial Unicode MS;Arial"/>
          <w:sz w:val="32"/>
          <w:szCs w:val="32"/>
        </w:rPr>
        <w:t>。</w:t>
      </w:r>
    </w:p>
    <w:p>
      <w:pPr>
        <w:pStyle w:val="Web"/>
        <w:overflowPunct w:val="false"/>
        <w:snapToGrid w:val="false"/>
        <w:spacing w:lineRule="atLeast" w:line="238" w:before="0" w:after="0"/>
        <w:ind w:hanging="640" w:left="2200" w:right="0"/>
        <w:rPr/>
      </w:pPr>
      <w:r>
        <w:rPr>
          <w:rFonts w:ascii="標楷體" w:hAnsi="標楷體" w:cs="Arial Unicode MS;Arial" w:eastAsia="標楷體"/>
          <w:sz w:val="32"/>
          <w:szCs w:val="32"/>
        </w:rPr>
        <w:t>二、</w:t>
      </w:r>
      <w:r>
        <w:rPr>
          <w:rFonts w:ascii="標楷體" w:hAnsi="標楷體" w:cs="標楷體" w:eastAsia="標楷體"/>
          <w:color w:val="000000"/>
          <w:sz w:val="32"/>
          <w:szCs w:val="32"/>
        </w:rPr>
        <w:t>研訂開設中央供應站作業程序</w:t>
      </w:r>
      <w:r>
        <w:rPr>
          <w:rFonts w:ascii="標楷體" w:hAnsi="標楷體" w:cs="Arial Unicode MS;Arial" w:eastAsia="標楷體"/>
          <w:sz w:val="32"/>
          <w:szCs w:val="32"/>
        </w:rPr>
        <w:t>。</w:t>
      </w:r>
    </w:p>
    <w:p>
      <w:pPr>
        <w:pStyle w:val="Web"/>
        <w:overflowPunct w:val="false"/>
        <w:snapToGrid w:val="false"/>
        <w:spacing w:lineRule="atLeast" w:line="238" w:before="0" w:after="0"/>
        <w:ind w:hanging="640" w:left="2200" w:right="0"/>
        <w:rPr>
          <w:rFonts w:ascii="標楷體" w:hAnsi="標楷體" w:eastAsia="標楷體" w:cs="標楷體"/>
          <w:sz w:val="32"/>
          <w:szCs w:val="32"/>
        </w:rPr>
      </w:pPr>
      <w:r>
        <w:rPr>
          <w:rFonts w:ascii="標楷體" w:hAnsi="標楷體" w:cs="標楷體" w:eastAsia="標楷體"/>
          <w:sz w:val="32"/>
          <w:szCs w:val="32"/>
        </w:rPr>
        <w:t>三、選定及開設中央供應站。</w:t>
      </w:r>
    </w:p>
    <w:p>
      <w:pPr>
        <w:pStyle w:val="Web"/>
        <w:overflowPunct w:val="false"/>
        <w:snapToGrid w:val="false"/>
        <w:spacing w:lineRule="atLeast" w:line="238" w:before="0" w:after="0"/>
        <w:ind w:hanging="640" w:left="2200" w:right="0"/>
        <w:rPr>
          <w:rFonts w:ascii="標楷體" w:hAnsi="標楷體" w:eastAsia="標楷體" w:cs="標楷體"/>
          <w:sz w:val="32"/>
          <w:szCs w:val="32"/>
        </w:rPr>
      </w:pPr>
      <w:r>
        <w:rPr>
          <w:rFonts w:ascii="標楷體" w:hAnsi="標楷體" w:cs="標楷體" w:eastAsia="標楷體"/>
          <w:sz w:val="32"/>
          <w:szCs w:val="32"/>
        </w:rPr>
        <w:t>四、實施演練。</w:t>
      </w:r>
    </w:p>
    <w:p>
      <w:pPr>
        <w:pStyle w:val="HTML"/>
        <w:overflowPunct w:val="false"/>
        <w:snapToGrid w:val="false"/>
        <w:spacing w:lineRule="atLeast" w:line="240"/>
        <w:ind w:hanging="240" w:left="240" w:right="0"/>
        <w:jc w:val="both"/>
        <w:rPr/>
      </w:pPr>
      <w:r>
        <w:rPr>
          <w:rFonts w:ascii="標楷體" w:hAnsi="標楷體" w:cs="標楷體" w:eastAsia="標楷體"/>
          <w:sz w:val="32"/>
          <w:szCs w:val="32"/>
        </w:rPr>
        <w:t>第七條　　地方機關</w:t>
      </w:r>
      <w:r>
        <w:rPr>
          <w:rFonts w:ascii="Times New Roman" w:hAnsi="Times New Roman" w:cs="Times New Roman" w:eastAsia="標楷體"/>
          <w:sz w:val="32"/>
          <w:szCs w:val="32"/>
        </w:rPr>
        <w:t>辦理配售之權責區分如下：</w:t>
      </w:r>
    </w:p>
    <w:p>
      <w:pPr>
        <w:pStyle w:val="Standard"/>
        <w:tabs>
          <w:tab w:val="clear" w:pos="480"/>
          <w:tab w:val="left" w:pos="2892" w:leader="none"/>
        </w:tabs>
        <w:overflowPunct w:val="false"/>
        <w:snapToGrid w:val="false"/>
        <w:spacing w:lineRule="atLeast" w:line="240"/>
        <w:ind w:hanging="640" w:left="2200" w:right="0"/>
        <w:jc w:val="both"/>
        <w:rPr/>
      </w:pPr>
      <w:r>
        <w:rPr>
          <w:rFonts w:eastAsia="標楷體"/>
          <w:sz w:val="32"/>
          <w:szCs w:val="32"/>
        </w:rPr>
        <w:t>一、直轄市、縣（市）政府</w:t>
      </w:r>
      <w:r>
        <w:rPr>
          <w:rFonts w:ascii="標楷體" w:hAnsi="標楷體" w:cs="標楷體" w:eastAsia="標楷體"/>
          <w:sz w:val="32"/>
          <w:szCs w:val="32"/>
        </w:rPr>
        <w:t>配合主管機關之規劃，負責轄區以下準備事項並納入執行計畫內整備：</w:t>
      </w:r>
    </w:p>
    <w:p>
      <w:pPr>
        <w:pStyle w:val="Standard"/>
        <w:tabs>
          <w:tab w:val="clear" w:pos="480"/>
          <w:tab w:val="left" w:pos="3932" w:leader="none"/>
        </w:tabs>
        <w:overflowPunct w:val="false"/>
        <w:snapToGrid w:val="false"/>
        <w:spacing w:lineRule="atLeast" w:line="240"/>
        <w:ind w:hanging="960" w:left="3240" w:right="0"/>
        <w:jc w:val="both"/>
        <w:rPr/>
      </w:pPr>
      <w:r>
        <w:rPr>
          <w:rFonts w:ascii="標楷體" w:hAnsi="標楷體" w:cs="標楷體" w:eastAsia="標楷體"/>
          <w:sz w:val="32"/>
          <w:szCs w:val="32"/>
        </w:rPr>
        <w:t>（一）</w:t>
      </w:r>
      <w:r>
        <w:rPr>
          <w:rFonts w:eastAsia="標楷體"/>
          <w:sz w:val="32"/>
          <w:szCs w:val="32"/>
        </w:rPr>
        <w:t>規劃配售品項之申請、提領、運送、分配、接收、儲存、發放及安全防護等事項。</w:t>
      </w:r>
    </w:p>
    <w:p>
      <w:pPr>
        <w:pStyle w:val="Standard"/>
        <w:tabs>
          <w:tab w:val="clear" w:pos="480"/>
          <w:tab w:val="left" w:pos="3932" w:leader="none"/>
        </w:tabs>
        <w:overflowPunct w:val="false"/>
        <w:snapToGrid w:val="false"/>
        <w:spacing w:lineRule="atLeast" w:line="240"/>
        <w:ind w:hanging="960" w:left="3240" w:right="0"/>
        <w:jc w:val="both"/>
        <w:rPr/>
      </w:pPr>
      <w:r>
        <w:rPr>
          <w:rFonts w:eastAsia="標楷體"/>
          <w:sz w:val="32"/>
          <w:szCs w:val="32"/>
        </w:rPr>
        <w:t>（二）</w:t>
      </w:r>
      <w:r>
        <w:rPr>
          <w:rFonts w:ascii="標楷體" w:hAnsi="標楷體" w:cs="標楷體" w:eastAsia="標楷體"/>
          <w:sz w:val="32"/>
          <w:szCs w:val="32"/>
        </w:rPr>
        <w:t>完成</w:t>
      </w:r>
      <w:r>
        <w:rPr>
          <w:rFonts w:eastAsia="標楷體"/>
          <w:sz w:val="32"/>
          <w:szCs w:val="32"/>
        </w:rPr>
        <w:t>年度配售品項數量及金額申請估算表（附表二）、配售憑證紀錄表（附表三）、配售品項數量計價發貨憑單（附表四）及受配人數預估表（附表五）等相關票證作業。</w:t>
      </w:r>
    </w:p>
    <w:p>
      <w:pPr>
        <w:pStyle w:val="Standard"/>
        <w:tabs>
          <w:tab w:val="clear" w:pos="480"/>
          <w:tab w:val="left" w:pos="3932" w:leader="none"/>
        </w:tabs>
        <w:overflowPunct w:val="false"/>
        <w:snapToGrid w:val="false"/>
        <w:spacing w:lineRule="atLeast" w:line="240"/>
        <w:ind w:hanging="960" w:left="3240" w:right="0"/>
        <w:jc w:val="both"/>
        <w:rPr>
          <w:rFonts w:eastAsia="標楷體"/>
          <w:sz w:val="32"/>
          <w:szCs w:val="32"/>
        </w:rPr>
      </w:pPr>
      <w:r>
        <w:rPr>
          <w:rFonts w:eastAsia="標楷體"/>
          <w:sz w:val="32"/>
          <w:szCs w:val="32"/>
        </w:rPr>
        <w:t>（三）設置與管理配售站及其成員，並滾動檢討配售站作業能量與配售人數之合理性。</w:t>
      </w:r>
    </w:p>
    <w:p>
      <w:pPr>
        <w:pStyle w:val="Standard"/>
        <w:tabs>
          <w:tab w:val="clear" w:pos="480"/>
          <w:tab w:val="left" w:pos="3932" w:leader="none"/>
        </w:tabs>
        <w:overflowPunct w:val="false"/>
        <w:snapToGrid w:val="false"/>
        <w:spacing w:lineRule="atLeast" w:line="240"/>
        <w:ind w:hanging="960" w:left="3240" w:right="0"/>
        <w:jc w:val="both"/>
        <w:rPr>
          <w:rFonts w:eastAsia="標楷體"/>
          <w:sz w:val="32"/>
          <w:szCs w:val="32"/>
        </w:rPr>
      </w:pPr>
      <w:r>
        <w:rPr>
          <w:rFonts w:eastAsia="標楷體"/>
          <w:sz w:val="32"/>
          <w:szCs w:val="32"/>
        </w:rPr>
        <w:t>（四）實施演練。</w:t>
      </w:r>
    </w:p>
    <w:p>
      <w:pPr>
        <w:pStyle w:val="HTML"/>
        <w:widowControl/>
        <w:suppressAutoHyphens w:val="true"/>
        <w:overflowPunct w:val="false"/>
        <w:bidi w:val="0"/>
        <w:snapToGrid w:val="false"/>
        <w:spacing w:lineRule="atLeast" w:line="240"/>
        <w:ind w:hanging="737" w:left="2324" w:right="0"/>
        <w:jc w:val="both"/>
        <w:textAlignment w:val="baseline"/>
        <w:rPr/>
      </w:pPr>
      <w:r>
        <w:rPr>
          <w:rFonts w:ascii="Times New Roman" w:hAnsi="Times New Roman" w:cs="Times New Roman" w:eastAsia="標楷體"/>
          <w:sz w:val="32"/>
          <w:szCs w:val="32"/>
        </w:rPr>
        <w:t>二、鄉、鎮、市、區公所</w:t>
      </w:r>
      <w:r>
        <w:rPr>
          <w:rFonts w:ascii="標楷體" w:hAnsi="標楷體" w:cs="標楷體" w:eastAsia="標楷體"/>
          <w:sz w:val="32"/>
          <w:szCs w:val="32"/>
        </w:rPr>
        <w:t>配合所屬直轄市、縣 （市）政府之規劃，辦理以下準備事項：</w:t>
      </w:r>
    </w:p>
    <w:p>
      <w:pPr>
        <w:pStyle w:val="Standard"/>
        <w:widowControl w:val="false"/>
        <w:tabs>
          <w:tab w:val="clear" w:pos="480"/>
          <w:tab w:val="left" w:pos="3812" w:leader="none"/>
        </w:tabs>
        <w:suppressAutoHyphens w:val="true"/>
        <w:overflowPunct w:val="false"/>
        <w:bidi w:val="0"/>
        <w:snapToGrid w:val="false"/>
        <w:spacing w:lineRule="atLeast" w:line="240"/>
        <w:ind w:hanging="794" w:left="3118" w:right="0"/>
        <w:jc w:val="both"/>
        <w:textAlignment w:val="baseline"/>
        <w:rPr/>
      </w:pPr>
      <w:r>
        <w:rPr>
          <w:rFonts w:ascii="標楷體" w:hAnsi="標楷體" w:cs="標楷體" w:eastAsia="標楷體"/>
          <w:sz w:val="32"/>
          <w:szCs w:val="32"/>
        </w:rPr>
        <w:t>（一）</w:t>
      </w:r>
      <w:r>
        <w:rPr>
          <w:rFonts w:eastAsia="標楷體"/>
          <w:sz w:val="32"/>
          <w:szCs w:val="32"/>
        </w:rPr>
        <w:t>配售品項之申請、接收、儲存及配合安全防護等事項</w:t>
      </w:r>
      <w:r>
        <w:rPr>
          <w:rFonts w:ascii="標楷體" w:hAnsi="標楷體" w:cs="標楷體" w:eastAsia="標楷體"/>
          <w:sz w:val="32"/>
          <w:szCs w:val="32"/>
        </w:rPr>
        <w:t>。</w:t>
      </w:r>
    </w:p>
    <w:p>
      <w:pPr>
        <w:pStyle w:val="Standard"/>
        <w:tabs>
          <w:tab w:val="clear" w:pos="480"/>
          <w:tab w:val="left" w:pos="3812" w:leader="none"/>
        </w:tabs>
        <w:overflowPunct w:val="false"/>
        <w:snapToGrid w:val="false"/>
        <w:spacing w:lineRule="atLeast" w:line="240"/>
        <w:ind w:hanging="960" w:left="3120" w:right="0"/>
        <w:jc w:val="both"/>
        <w:rPr/>
      </w:pPr>
      <w:r>
        <w:rPr>
          <w:rFonts w:eastAsia="標楷體"/>
          <w:sz w:val="32"/>
          <w:szCs w:val="32"/>
        </w:rPr>
        <w:t>（二）</w:t>
      </w:r>
      <w:r>
        <w:rPr>
          <w:rFonts w:ascii="標楷體" w:hAnsi="標楷體" w:cs="標楷體" w:eastAsia="標楷體"/>
          <w:sz w:val="32"/>
          <w:szCs w:val="32"/>
        </w:rPr>
        <w:t>選定與開設配售站，並編成配售站及其成員</w:t>
      </w:r>
      <w:r>
        <w:rPr>
          <w:rFonts w:eastAsia="標楷體"/>
          <w:sz w:val="32"/>
          <w:szCs w:val="32"/>
        </w:rPr>
        <w:t>。</w:t>
      </w:r>
    </w:p>
    <w:p>
      <w:pPr>
        <w:pStyle w:val="Standard"/>
        <w:tabs>
          <w:tab w:val="clear" w:pos="480"/>
          <w:tab w:val="left" w:pos="3812" w:leader="none"/>
        </w:tabs>
        <w:overflowPunct w:val="false"/>
        <w:snapToGrid w:val="false"/>
        <w:spacing w:lineRule="atLeast" w:line="240"/>
        <w:ind w:hanging="960" w:left="3120" w:right="0"/>
        <w:jc w:val="both"/>
        <w:rPr>
          <w:rFonts w:eastAsia="標楷體"/>
          <w:sz w:val="32"/>
          <w:szCs w:val="32"/>
        </w:rPr>
      </w:pPr>
      <w:r>
        <w:rPr>
          <w:rFonts w:eastAsia="標楷體"/>
          <w:sz w:val="32"/>
          <w:szCs w:val="32"/>
        </w:rPr>
        <w:t>（三）繕造受配名冊（附表六）。</w:t>
      </w:r>
    </w:p>
    <w:p>
      <w:pPr>
        <w:pStyle w:val="Standard"/>
        <w:tabs>
          <w:tab w:val="clear" w:pos="480"/>
          <w:tab w:val="left" w:pos="3812" w:leader="none"/>
        </w:tabs>
        <w:overflowPunct w:val="false"/>
        <w:snapToGrid w:val="false"/>
        <w:spacing w:lineRule="atLeast" w:line="240"/>
        <w:ind w:hanging="960" w:left="3120" w:right="0"/>
        <w:jc w:val="both"/>
        <w:rPr>
          <w:rFonts w:eastAsia="標楷體"/>
          <w:sz w:val="32"/>
          <w:szCs w:val="32"/>
        </w:rPr>
      </w:pPr>
      <w:r>
        <w:rPr>
          <w:rFonts w:eastAsia="標楷體"/>
          <w:sz w:val="32"/>
          <w:szCs w:val="32"/>
        </w:rPr>
        <w:t>（四）實施演練。</w:t>
      </w:r>
    </w:p>
    <w:p>
      <w:pPr>
        <w:pStyle w:val="HTML"/>
        <w:overflowPunct w:val="false"/>
        <w:snapToGrid w:val="false"/>
        <w:spacing w:lineRule="atLeast" w:line="240"/>
        <w:ind w:hanging="240" w:left="240" w:right="0"/>
        <w:jc w:val="both"/>
        <w:rPr>
          <w:rFonts w:ascii="標楷體" w:hAnsi="標楷體" w:eastAsia="標楷體" w:cs="標楷體"/>
          <w:sz w:val="32"/>
          <w:szCs w:val="32"/>
        </w:rPr>
      </w:pPr>
      <w:r>
        <w:rPr>
          <w:rFonts w:ascii="標楷體" w:hAnsi="標楷體" w:cs="標楷體" w:eastAsia="標楷體"/>
          <w:sz w:val="32"/>
          <w:szCs w:val="32"/>
        </w:rPr>
        <w:t>第八條　　實施配售作業之體系如附表七，其編組如下：</w:t>
      </w:r>
    </w:p>
    <w:p>
      <w:pPr>
        <w:pStyle w:val="HTML"/>
        <w:overflowPunct w:val="false"/>
        <w:snapToGrid w:val="false"/>
        <w:spacing w:lineRule="atLeast" w:line="240"/>
        <w:ind w:hanging="567" w:left="2271" w:right="0"/>
        <w:jc w:val="both"/>
        <w:rPr>
          <w:rFonts w:ascii="標楷體" w:hAnsi="標楷體" w:eastAsia="標楷體" w:cs="標楷體"/>
          <w:sz w:val="32"/>
          <w:szCs w:val="32"/>
        </w:rPr>
      </w:pPr>
      <w:r>
        <w:rPr>
          <w:rFonts w:ascii="標楷體" w:hAnsi="標楷體" w:cs="標楷體" w:eastAsia="標楷體"/>
          <w:sz w:val="32"/>
          <w:szCs w:val="32"/>
        </w:rPr>
        <w:t>一、主管機關與相關部、會編組民生必需品配給、配售指導會報（以下簡稱指導會報），編組表如附表八，其辦理事項如下：</w:t>
      </w:r>
    </w:p>
    <w:p>
      <w:pPr>
        <w:pStyle w:val="HTML"/>
        <w:overflowPunct w:val="false"/>
        <w:snapToGrid w:val="false"/>
        <w:spacing w:lineRule="atLeast" w:line="240"/>
        <w:ind w:hanging="960" w:left="3120" w:right="0"/>
        <w:jc w:val="both"/>
        <w:rPr>
          <w:rFonts w:ascii="標楷體" w:hAnsi="標楷體" w:eastAsia="標楷體" w:cs="標楷體"/>
          <w:sz w:val="32"/>
          <w:szCs w:val="32"/>
        </w:rPr>
      </w:pPr>
      <w:r>
        <w:rPr>
          <w:rFonts w:ascii="標楷體" w:hAnsi="標楷體" w:cs="標楷體" w:eastAsia="標楷體"/>
          <w:sz w:val="32"/>
          <w:szCs w:val="32"/>
        </w:rPr>
        <w:t>（一）督導直轄市、縣（市）政府民生必需品配售執行委員會執行配售作業。</w:t>
      </w:r>
    </w:p>
    <w:p>
      <w:pPr>
        <w:pStyle w:val="HTML"/>
        <w:overflowPunct w:val="false"/>
        <w:snapToGrid w:val="false"/>
        <w:spacing w:lineRule="atLeast" w:line="240"/>
        <w:ind w:hanging="960" w:left="3120" w:right="0"/>
        <w:jc w:val="both"/>
        <w:rPr>
          <w:rFonts w:ascii="標楷體" w:hAnsi="標楷體" w:eastAsia="標楷體" w:cs="標楷體"/>
          <w:sz w:val="32"/>
          <w:szCs w:val="32"/>
        </w:rPr>
      </w:pPr>
      <w:r>
        <w:rPr>
          <w:rFonts w:ascii="標楷體" w:hAnsi="標楷體" w:cs="標楷體" w:eastAsia="標楷體"/>
          <w:sz w:val="32"/>
          <w:szCs w:val="32"/>
        </w:rPr>
        <w:t>（二）核定並公告配售品項價格。</w:t>
      </w:r>
    </w:p>
    <w:p>
      <w:pPr>
        <w:pStyle w:val="HTML"/>
        <w:overflowPunct w:val="false"/>
        <w:snapToGrid w:val="false"/>
        <w:spacing w:lineRule="atLeast" w:line="240"/>
        <w:ind w:hanging="960" w:left="3120" w:right="0"/>
        <w:jc w:val="both"/>
        <w:rPr>
          <w:rFonts w:ascii="標楷體" w:hAnsi="標楷體" w:eastAsia="標楷體" w:cs="標楷體"/>
          <w:sz w:val="32"/>
          <w:szCs w:val="32"/>
        </w:rPr>
      </w:pPr>
      <w:r>
        <w:rPr>
          <w:rFonts w:ascii="標楷體" w:hAnsi="標楷體" w:cs="標楷體" w:eastAsia="標楷體"/>
          <w:sz w:val="32"/>
          <w:szCs w:val="32"/>
        </w:rPr>
        <w:t>（三）查察配售品項囤積居奇及非法買賣。</w:t>
      </w:r>
    </w:p>
    <w:p>
      <w:pPr>
        <w:pStyle w:val="HTML"/>
        <w:overflowPunct w:val="false"/>
        <w:snapToGrid w:val="false"/>
        <w:spacing w:lineRule="atLeast" w:line="240"/>
        <w:ind w:hanging="960" w:left="3120" w:right="0"/>
        <w:jc w:val="both"/>
        <w:rPr>
          <w:rFonts w:ascii="標楷體" w:hAnsi="標楷體" w:eastAsia="標楷體" w:cs="標楷體"/>
          <w:sz w:val="32"/>
          <w:szCs w:val="32"/>
        </w:rPr>
      </w:pPr>
      <w:r>
        <w:rPr>
          <w:rFonts w:ascii="標楷體" w:hAnsi="標楷體" w:cs="標楷體" w:eastAsia="標楷體"/>
          <w:sz w:val="32"/>
          <w:szCs w:val="32"/>
        </w:rPr>
        <w:t>（四）於配售品項供應不足時，公告減量供應或依法實施臨時徵購代用品。</w:t>
      </w:r>
    </w:p>
    <w:p>
      <w:pPr>
        <w:pStyle w:val="HTML"/>
        <w:overflowPunct w:val="false"/>
        <w:snapToGrid w:val="false"/>
        <w:spacing w:lineRule="atLeast" w:line="240"/>
        <w:ind w:hanging="960" w:left="3120" w:right="0"/>
        <w:jc w:val="both"/>
        <w:rPr>
          <w:rFonts w:ascii="標楷體" w:hAnsi="標楷體" w:eastAsia="標楷體" w:cs="標楷體"/>
          <w:sz w:val="32"/>
          <w:szCs w:val="32"/>
        </w:rPr>
      </w:pPr>
      <w:r>
        <w:rPr>
          <w:rFonts w:ascii="標楷體" w:hAnsi="標楷體" w:cs="標楷體" w:eastAsia="標楷體"/>
          <w:sz w:val="32"/>
          <w:szCs w:val="32"/>
        </w:rPr>
        <w:t>（五）於有價配售作業有無法正常運作之虞時，核定公告調整以無償方式辦理。</w:t>
      </w:r>
    </w:p>
    <w:p>
      <w:pPr>
        <w:pStyle w:val="HTML"/>
        <w:overflowPunct w:val="false"/>
        <w:snapToGrid w:val="false"/>
        <w:spacing w:lineRule="atLeast" w:line="240"/>
        <w:ind w:hanging="640" w:left="2200" w:right="0"/>
        <w:jc w:val="both"/>
        <w:rPr>
          <w:rFonts w:ascii="標楷體" w:hAnsi="標楷體" w:eastAsia="標楷體" w:cs="標楷體"/>
          <w:sz w:val="32"/>
          <w:szCs w:val="32"/>
        </w:rPr>
      </w:pPr>
      <w:r>
        <w:rPr>
          <w:rFonts w:ascii="標楷體" w:hAnsi="標楷體" w:cs="標楷體" w:eastAsia="標楷體"/>
          <w:sz w:val="32"/>
          <w:szCs w:val="32"/>
        </w:rPr>
        <w:t>二、直轄市政府及縣（市）政府編組民生必需品配售執行委員會，編組表如附表九，其辦理事項如下：</w:t>
      </w:r>
    </w:p>
    <w:p>
      <w:pPr>
        <w:pStyle w:val="HTML"/>
        <w:overflowPunct w:val="false"/>
        <w:snapToGrid w:val="false"/>
        <w:spacing w:lineRule="atLeast" w:line="240"/>
        <w:ind w:hanging="960" w:left="3089" w:right="0"/>
        <w:jc w:val="both"/>
        <w:rPr>
          <w:rFonts w:ascii="標楷體" w:hAnsi="標楷體" w:eastAsia="標楷體" w:cs="標楷體"/>
          <w:sz w:val="32"/>
          <w:szCs w:val="32"/>
        </w:rPr>
      </w:pPr>
      <w:r>
        <w:rPr>
          <w:rFonts w:ascii="標楷體" w:hAnsi="標楷體" w:cs="標楷體" w:eastAsia="標楷體"/>
          <w:sz w:val="32"/>
          <w:szCs w:val="32"/>
        </w:rPr>
        <w:t>（一）督導所屬鄉、鎮、市、區公所民生必需品配售執行小組執行配售作業。</w:t>
      </w:r>
    </w:p>
    <w:p>
      <w:pPr>
        <w:pStyle w:val="HTML"/>
        <w:overflowPunct w:val="false"/>
        <w:snapToGrid w:val="false"/>
        <w:spacing w:lineRule="atLeast" w:line="240"/>
        <w:ind w:hanging="960" w:left="3089" w:right="0"/>
        <w:jc w:val="both"/>
        <w:rPr>
          <w:rFonts w:ascii="標楷體" w:hAnsi="標楷體" w:eastAsia="標楷體" w:cs="標楷體"/>
          <w:sz w:val="32"/>
          <w:szCs w:val="32"/>
        </w:rPr>
      </w:pPr>
      <w:r>
        <w:rPr>
          <w:rFonts w:ascii="標楷體" w:hAnsi="標楷體" w:cs="標楷體" w:eastAsia="標楷體"/>
          <w:sz w:val="32"/>
          <w:szCs w:val="32"/>
        </w:rPr>
        <w:t>（二）配合查察配售品項囤積居奇及非法買賣。</w:t>
      </w:r>
    </w:p>
    <w:p>
      <w:pPr>
        <w:pStyle w:val="HTML"/>
        <w:overflowPunct w:val="false"/>
        <w:snapToGrid w:val="false"/>
        <w:spacing w:lineRule="atLeast" w:line="240"/>
        <w:ind w:hanging="960" w:left="3089" w:right="0"/>
        <w:jc w:val="both"/>
        <w:rPr>
          <w:rFonts w:ascii="標楷體" w:hAnsi="標楷體" w:eastAsia="標楷體" w:cs="標楷體"/>
          <w:sz w:val="32"/>
          <w:szCs w:val="32"/>
        </w:rPr>
      </w:pPr>
      <w:r>
        <w:rPr>
          <w:rFonts w:ascii="標楷體" w:hAnsi="標楷體" w:cs="標楷體" w:eastAsia="標楷體"/>
          <w:sz w:val="32"/>
          <w:szCs w:val="32"/>
        </w:rPr>
        <w:t>（三）督導、協調液化石油氣零售業者供氣予民眾。</w:t>
      </w:r>
    </w:p>
    <w:p>
      <w:pPr>
        <w:pStyle w:val="HTML"/>
        <w:overflowPunct w:val="false"/>
        <w:snapToGrid w:val="false"/>
        <w:spacing w:lineRule="atLeast" w:line="240"/>
        <w:ind w:hanging="800" w:left="2866" w:right="0"/>
        <w:jc w:val="both"/>
        <w:rPr>
          <w:rFonts w:ascii="標楷體" w:hAnsi="標楷體" w:eastAsia="標楷體" w:cs="標楷體"/>
          <w:sz w:val="32"/>
          <w:szCs w:val="32"/>
        </w:rPr>
      </w:pPr>
      <w:r>
        <w:rPr>
          <w:rFonts w:ascii="標楷體" w:hAnsi="標楷體" w:cs="標楷體" w:eastAsia="標楷體"/>
          <w:sz w:val="32"/>
          <w:szCs w:val="32"/>
        </w:rPr>
        <w:t>（四）依據指導會報公告事項執行相關事宜。</w:t>
      </w:r>
    </w:p>
    <w:p>
      <w:pPr>
        <w:pStyle w:val="HTML"/>
        <w:overflowPunct w:val="false"/>
        <w:snapToGrid w:val="false"/>
        <w:spacing w:lineRule="atLeast" w:line="240"/>
        <w:ind w:hanging="640" w:left="2200" w:right="0"/>
        <w:jc w:val="both"/>
        <w:rPr>
          <w:rFonts w:ascii="標楷體" w:hAnsi="標楷體" w:eastAsia="標楷體" w:cs="標楷體"/>
          <w:sz w:val="32"/>
          <w:szCs w:val="32"/>
        </w:rPr>
      </w:pPr>
      <w:r>
        <w:rPr>
          <w:rFonts w:ascii="標楷體" w:hAnsi="標楷體" w:cs="標楷體" w:eastAsia="標楷體"/>
          <w:sz w:val="32"/>
          <w:szCs w:val="32"/>
        </w:rPr>
        <w:t>三、鄉、鎮、市、區公所編組民生必需品配售執行小組，編組表如附表十，其辦理事項如下：</w:t>
      </w:r>
    </w:p>
    <w:p>
      <w:pPr>
        <w:pStyle w:val="HTML"/>
        <w:tabs>
          <w:tab w:val="clear" w:pos="480"/>
          <w:tab w:val="left" w:pos="709" w:leader="none"/>
        </w:tabs>
        <w:overflowPunct w:val="false"/>
        <w:snapToGrid w:val="false"/>
        <w:spacing w:lineRule="atLeast" w:line="240"/>
        <w:ind w:hanging="937" w:left="2977" w:right="0"/>
        <w:jc w:val="both"/>
        <w:rPr/>
      </w:pPr>
      <w:r>
        <w:rPr>
          <w:rFonts w:ascii="標楷體" w:hAnsi="標楷體" w:cs="標楷體" w:eastAsia="標楷體"/>
          <w:sz w:val="32"/>
          <w:szCs w:val="32"/>
        </w:rPr>
        <w:t>（一）督導村里辦公處開設配售站，編組表如附表十一，執行配售作業</w:t>
      </w:r>
      <w:r>
        <w:rPr>
          <w:rFonts w:eastAsia="標楷體"/>
          <w:sz w:val="32"/>
          <w:szCs w:val="32"/>
        </w:rPr>
        <w:t>。</w:t>
      </w:r>
    </w:p>
    <w:p>
      <w:pPr>
        <w:pStyle w:val="HTML"/>
        <w:overflowPunct w:val="false"/>
        <w:snapToGrid w:val="false"/>
        <w:spacing w:lineRule="atLeast" w:line="240"/>
        <w:ind w:hanging="960" w:left="3000" w:right="0"/>
        <w:jc w:val="both"/>
        <w:rPr/>
      </w:pPr>
      <w:r>
        <w:rPr>
          <w:rFonts w:ascii="標楷體" w:hAnsi="標楷體" w:cs="標楷體" w:eastAsia="標楷體"/>
          <w:sz w:val="32"/>
          <w:szCs w:val="32"/>
        </w:rPr>
        <w:t>（二）發送</w:t>
      </w:r>
      <w:r>
        <w:rPr>
          <w:rFonts w:eastAsia="標楷體"/>
          <w:sz w:val="32"/>
          <w:szCs w:val="32"/>
        </w:rPr>
        <w:t>配售作業用表冊</w:t>
      </w:r>
      <w:r>
        <w:rPr>
          <w:rFonts w:ascii="標楷體" w:hAnsi="標楷體" w:cs="標楷體" w:eastAsia="標楷體"/>
          <w:sz w:val="32"/>
          <w:szCs w:val="32"/>
        </w:rPr>
        <w:t>。</w:t>
      </w:r>
    </w:p>
    <w:p>
      <w:pPr>
        <w:pStyle w:val="cjk"/>
        <w:overflowPunct w:val="false"/>
        <w:snapToGrid w:val="false"/>
        <w:spacing w:lineRule="atLeast" w:line="238" w:before="0" w:after="0"/>
        <w:ind w:hanging="960" w:left="960" w:right="0"/>
        <w:rPr/>
      </w:pPr>
      <w:r>
        <w:rPr>
          <w:sz w:val="32"/>
          <w:szCs w:val="32"/>
        </w:rPr>
        <w:t>第九條</w:t>
      </w:r>
      <w:r>
        <w:rPr>
          <w:rFonts w:cs="標楷體"/>
          <w:sz w:val="32"/>
          <w:szCs w:val="32"/>
        </w:rPr>
        <w:t>　　</w:t>
      </w:r>
      <w:r>
        <w:rPr>
          <w:sz w:val="32"/>
          <w:szCs w:val="32"/>
        </w:rPr>
        <w:t>配售站選址應於平時完成預劃準備，且符合本法第二十九條規定，其條件如下：</w:t>
      </w:r>
    </w:p>
    <w:p>
      <w:pPr>
        <w:pStyle w:val="Web"/>
        <w:overflowPunct w:val="false"/>
        <w:snapToGrid w:val="false"/>
        <w:spacing w:lineRule="atLeast" w:line="238" w:before="0" w:after="0"/>
        <w:ind w:firstLine="1600" w:left="0" w:right="0"/>
        <w:rPr>
          <w:rFonts w:ascii="標楷體" w:hAnsi="標楷體" w:eastAsia="標楷體" w:cs="標楷體"/>
          <w:sz w:val="32"/>
          <w:szCs w:val="32"/>
        </w:rPr>
      </w:pPr>
      <w:r>
        <w:rPr>
          <w:rFonts w:ascii="標楷體" w:hAnsi="標楷體" w:cs="標楷體" w:eastAsia="標楷體"/>
          <w:sz w:val="32"/>
          <w:szCs w:val="32"/>
        </w:rPr>
        <w:t>一、人口集中且交通運輸便利處。</w:t>
      </w:r>
    </w:p>
    <w:p>
      <w:pPr>
        <w:pStyle w:val="Web"/>
        <w:overflowPunct w:val="false"/>
        <w:snapToGrid w:val="false"/>
        <w:spacing w:lineRule="atLeast" w:line="238" w:before="0" w:after="0"/>
        <w:ind w:firstLine="1600" w:left="0" w:right="0"/>
        <w:rPr>
          <w:rFonts w:ascii="標楷體" w:hAnsi="標楷體" w:eastAsia="標楷體" w:cs="標楷體"/>
          <w:sz w:val="32"/>
          <w:szCs w:val="32"/>
        </w:rPr>
      </w:pPr>
      <w:r>
        <w:rPr>
          <w:rFonts w:ascii="標楷體" w:hAnsi="標楷體" w:cs="標楷體" w:eastAsia="標楷體"/>
          <w:sz w:val="32"/>
          <w:szCs w:val="32"/>
        </w:rPr>
        <w:t>二、空間寛廣可供儲放並有不同出入口。</w:t>
      </w:r>
    </w:p>
    <w:p>
      <w:pPr>
        <w:pStyle w:val="Web"/>
        <w:overflowPunct w:val="false"/>
        <w:snapToGrid w:val="false"/>
        <w:spacing w:lineRule="atLeast" w:line="238" w:before="0" w:after="0"/>
        <w:ind w:firstLine="1600" w:left="0" w:right="0"/>
        <w:rPr>
          <w:rFonts w:ascii="標楷體" w:hAnsi="標楷體" w:eastAsia="標楷體" w:cs="標楷體"/>
          <w:sz w:val="32"/>
          <w:szCs w:val="32"/>
        </w:rPr>
      </w:pPr>
      <w:r>
        <w:rPr>
          <w:rFonts w:ascii="標楷體" w:hAnsi="標楷體" w:cs="標楷體" w:eastAsia="標楷體"/>
          <w:sz w:val="32"/>
          <w:szCs w:val="32"/>
        </w:rPr>
        <w:t>三、防火、防空、通風、水電及停車等功能完善。</w:t>
      </w:r>
    </w:p>
    <w:p>
      <w:pPr>
        <w:pStyle w:val="Web"/>
        <w:overflowPunct w:val="false"/>
        <w:snapToGrid w:val="false"/>
        <w:spacing w:lineRule="atLeast" w:line="238" w:before="0" w:after="0"/>
        <w:ind w:hanging="708" w:left="2268" w:right="0"/>
        <w:rPr>
          <w:rFonts w:ascii="標楷體" w:hAnsi="標楷體" w:eastAsia="標楷體" w:cs="標楷體"/>
          <w:sz w:val="32"/>
          <w:szCs w:val="32"/>
        </w:rPr>
      </w:pPr>
      <w:r>
        <w:rPr>
          <w:rFonts w:ascii="標楷體" w:hAnsi="標楷體" w:cs="標楷體" w:eastAsia="標楷體"/>
          <w:sz w:val="32"/>
          <w:szCs w:val="32"/>
        </w:rPr>
        <w:t>四、如與災民收容處所設置於同一處，應有適當安全區隔，及不同出入動線。</w:t>
      </w:r>
    </w:p>
    <w:p>
      <w:pPr>
        <w:pStyle w:val="Web"/>
        <w:overflowPunct w:val="false"/>
        <w:snapToGrid w:val="false"/>
        <w:spacing w:lineRule="atLeast" w:line="238" w:before="0" w:after="0"/>
        <w:ind w:firstLine="640" w:left="960" w:right="0"/>
        <w:rPr>
          <w:rFonts w:ascii="標楷體" w:hAnsi="標楷體" w:eastAsia="標楷體" w:cs="標楷體"/>
          <w:sz w:val="32"/>
          <w:szCs w:val="32"/>
        </w:rPr>
      </w:pPr>
      <w:r>
        <w:rPr>
          <w:rFonts w:ascii="標楷體" w:hAnsi="標楷體" w:cs="標楷體" w:eastAsia="標楷體"/>
          <w:sz w:val="32"/>
          <w:szCs w:val="32"/>
        </w:rPr>
        <w:t>配售站設置數量以一村、里設一站為原則，但可依地形、人口、交通及設施等現況酌予調整。</w:t>
      </w:r>
    </w:p>
    <w:p>
      <w:pPr>
        <w:pStyle w:val="HTML"/>
        <w:overflowPunct w:val="false"/>
        <w:snapToGrid w:val="false"/>
        <w:spacing w:lineRule="atLeast" w:line="240"/>
        <w:ind w:hanging="240" w:left="240" w:right="0"/>
        <w:jc w:val="both"/>
        <w:rPr/>
      </w:pPr>
      <w:r>
        <w:rPr>
          <w:rFonts w:ascii="標楷體" w:hAnsi="標楷體" w:cs="標楷體" w:eastAsia="標楷體"/>
          <w:sz w:val="32"/>
          <w:szCs w:val="32"/>
        </w:rPr>
        <w:t>第十條　　</w:t>
      </w:r>
      <w:r>
        <w:rPr>
          <w:rFonts w:ascii="Times New Roman" w:hAnsi="Times New Roman" w:cs="Times New Roman" w:eastAsia="標楷體"/>
          <w:sz w:val="32"/>
          <w:szCs w:val="32"/>
        </w:rPr>
        <w:t>配售之實施依下列規定辦理：</w:t>
      </w:r>
    </w:p>
    <w:p>
      <w:pPr>
        <w:pStyle w:val="HTML"/>
        <w:overflowPunct w:val="false"/>
        <w:snapToGrid w:val="false"/>
        <w:spacing w:lineRule="atLeast" w:line="240"/>
        <w:ind w:hanging="640" w:left="2214" w:right="0"/>
        <w:jc w:val="both"/>
        <w:rPr>
          <w:rFonts w:ascii="Times New Roman" w:hAnsi="Times New Roman" w:eastAsia="標楷體" w:cs="Times New Roman"/>
          <w:sz w:val="32"/>
          <w:szCs w:val="32"/>
        </w:rPr>
      </w:pPr>
      <w:r>
        <w:rPr>
          <w:rFonts w:ascii="Times New Roman" w:hAnsi="Times New Roman" w:cs="Times New Roman" w:eastAsia="標楷體"/>
          <w:sz w:val="32"/>
          <w:szCs w:val="32"/>
        </w:rPr>
        <w:t>一、實施時機：由主管機關依狀況報奉行政院核定後公告實施，解除時亦同。</w:t>
      </w:r>
    </w:p>
    <w:p>
      <w:pPr>
        <w:pStyle w:val="HTML"/>
        <w:overflowPunct w:val="false"/>
        <w:snapToGrid w:val="false"/>
        <w:spacing w:lineRule="atLeast" w:line="240"/>
        <w:ind w:firstLine="1600" w:left="0" w:right="0"/>
        <w:jc w:val="both"/>
        <w:rPr>
          <w:rFonts w:ascii="Times New Roman" w:hAnsi="Times New Roman" w:eastAsia="標楷體" w:cs="Times New Roman"/>
          <w:sz w:val="32"/>
          <w:szCs w:val="32"/>
        </w:rPr>
      </w:pPr>
      <w:r>
        <w:rPr>
          <w:rFonts w:ascii="Times New Roman" w:hAnsi="Times New Roman" w:cs="Times New Roman" w:eastAsia="標楷體"/>
          <w:sz w:val="32"/>
          <w:szCs w:val="32"/>
        </w:rPr>
        <w:t>二、配售作業：</w:t>
      </w:r>
    </w:p>
    <w:p>
      <w:pPr>
        <w:pStyle w:val="HTML"/>
        <w:overflowPunct w:val="false"/>
        <w:snapToGrid w:val="false"/>
        <w:spacing w:lineRule="atLeast" w:line="240"/>
        <w:ind w:hanging="960" w:left="3240" w:right="0"/>
        <w:jc w:val="both"/>
        <w:rPr/>
      </w:pPr>
      <w:r>
        <w:rPr>
          <w:rFonts w:ascii="Times New Roman" w:hAnsi="Times New Roman" w:cs="Times New Roman" w:eastAsia="標楷體"/>
          <w:sz w:val="32"/>
          <w:szCs w:val="32"/>
        </w:rPr>
        <w:t>（一）各直轄市、縣（市）政府</w:t>
      </w:r>
      <w:r>
        <w:rPr>
          <w:rFonts w:ascii="Times New Roman" w:hAnsi="Times New Roman" w:cs="Times New Roman" w:eastAsia="標楷體"/>
          <w:sz w:val="32"/>
          <w:szCs w:val="32"/>
          <w:shd w:fill="FFFFFF" w:val="clear"/>
        </w:rPr>
        <w:t>應自備運輸工具至中央供應站</w:t>
      </w:r>
      <w:r>
        <w:rPr>
          <w:rFonts w:ascii="Times New Roman" w:hAnsi="Times New Roman" w:cs="Times New Roman" w:eastAsia="標楷體"/>
          <w:sz w:val="32"/>
          <w:szCs w:val="32"/>
        </w:rPr>
        <w:t>提領配售品項，再轉運至各配售站接收、儲存及發放。</w:t>
      </w:r>
    </w:p>
    <w:p>
      <w:pPr>
        <w:pStyle w:val="HTML"/>
        <w:overflowPunct w:val="false"/>
        <w:snapToGrid w:val="false"/>
        <w:spacing w:lineRule="atLeast" w:line="240"/>
        <w:ind w:hanging="960" w:left="3240" w:right="0"/>
        <w:jc w:val="both"/>
        <w:rPr>
          <w:rFonts w:ascii="Times New Roman" w:hAnsi="Times New Roman" w:eastAsia="標楷體" w:cs="Times New Roman"/>
          <w:sz w:val="32"/>
          <w:szCs w:val="32"/>
        </w:rPr>
      </w:pPr>
      <w:r>
        <w:rPr>
          <w:rFonts w:ascii="Times New Roman" w:hAnsi="Times New Roman" w:cs="Times New Roman" w:eastAsia="標楷體"/>
          <w:sz w:val="32"/>
          <w:szCs w:val="32"/>
        </w:rPr>
        <w:t>（二）再次申購配售品項前，應先全數結清上次價款，始可提領。</w:t>
      </w:r>
    </w:p>
    <w:p>
      <w:pPr>
        <w:pStyle w:val="HTML"/>
        <w:overflowPunct w:val="false"/>
        <w:snapToGrid w:val="false"/>
        <w:spacing w:lineRule="atLeast" w:line="240"/>
        <w:ind w:hanging="960" w:left="3240" w:right="0"/>
        <w:jc w:val="both"/>
        <w:rPr>
          <w:rFonts w:ascii="Times New Roman" w:hAnsi="Times New Roman" w:eastAsia="標楷體" w:cs="Times New Roman"/>
          <w:sz w:val="32"/>
          <w:szCs w:val="32"/>
        </w:rPr>
      </w:pPr>
      <w:r>
        <w:rPr>
          <w:rFonts w:ascii="Times New Roman" w:hAnsi="Times New Roman" w:cs="Times New Roman" w:eastAsia="標楷體"/>
          <w:sz w:val="32"/>
          <w:szCs w:val="32"/>
        </w:rPr>
        <w:t>（三）液化石油氣按平時供銷作業，嚴禁置於配售站，並得以代券方式辦理。</w:t>
      </w:r>
    </w:p>
    <w:p>
      <w:pPr>
        <w:pStyle w:val="HTML"/>
        <w:overflowPunct w:val="false"/>
        <w:snapToGrid w:val="false"/>
        <w:spacing w:lineRule="atLeast" w:line="240"/>
        <w:ind w:hanging="960" w:left="3240" w:right="0"/>
        <w:jc w:val="both"/>
        <w:rPr>
          <w:rFonts w:ascii="Times New Roman" w:hAnsi="Times New Roman" w:eastAsia="標楷體" w:cs="Times New Roman"/>
          <w:sz w:val="32"/>
          <w:szCs w:val="32"/>
        </w:rPr>
      </w:pPr>
      <w:r>
        <w:rPr>
          <w:rFonts w:ascii="Times New Roman" w:hAnsi="Times New Roman" w:cs="Times New Roman" w:eastAsia="標楷體"/>
          <w:sz w:val="32"/>
          <w:szCs w:val="32"/>
        </w:rPr>
        <w:t>（四）各受配人按公告配售之時地，持有效身分證明文件及配售憑證紀錄表，至指定配售站，按規定品項數量計價配購，每人每月配購一次至三次。</w:t>
      </w:r>
    </w:p>
    <w:p>
      <w:pPr>
        <w:pStyle w:val="HTML"/>
        <w:overflowPunct w:val="false"/>
        <w:snapToGrid w:val="false"/>
        <w:spacing w:lineRule="atLeast" w:line="240"/>
        <w:ind w:hanging="640" w:left="2200" w:right="0"/>
        <w:jc w:val="both"/>
        <w:rPr/>
      </w:pPr>
      <w:r>
        <w:rPr>
          <w:rFonts w:ascii="Times New Roman" w:hAnsi="Times New Roman" w:cs="Times New Roman" w:eastAsia="標楷體"/>
          <w:sz w:val="32"/>
          <w:szCs w:val="32"/>
        </w:rPr>
        <w:t>三、關於實施配售期間之辦理程序、作業指引及應遵循事項，由主管機關另定之</w:t>
      </w:r>
      <w:r>
        <w:rPr>
          <w:rFonts w:ascii="標楷體" w:hAnsi="標楷體" w:cs="標楷體" w:eastAsia="標楷體"/>
          <w:sz w:val="32"/>
          <w:szCs w:val="32"/>
        </w:rPr>
        <w:t>。</w:t>
      </w:r>
    </w:p>
    <w:p>
      <w:pPr>
        <w:pStyle w:val="Standard"/>
        <w:overflowPunct w:val="false"/>
        <w:snapToGrid w:val="false"/>
        <w:ind w:hanging="1280" w:left="1280" w:right="0"/>
        <w:jc w:val="both"/>
        <w:rPr>
          <w:rFonts w:ascii="標楷體" w:hAnsi="標楷體" w:eastAsia="標楷體" w:cs="標楷體"/>
          <w:sz w:val="32"/>
          <w:szCs w:val="32"/>
        </w:rPr>
      </w:pPr>
      <w:r>
        <w:rPr>
          <w:rFonts w:ascii="標楷體" w:hAnsi="標楷體" w:cs="標楷體" w:eastAsia="標楷體"/>
          <w:sz w:val="32"/>
          <w:szCs w:val="32"/>
        </w:rPr>
        <w:t>第十一條　　辦理配售準備所需經費，各機關（構）應編列年度預算支應。</w:t>
      </w:r>
    </w:p>
    <w:p>
      <w:pPr>
        <w:pStyle w:val="Standard"/>
        <w:overflowPunct w:val="false"/>
        <w:snapToGrid w:val="false"/>
        <w:ind w:hanging="1280" w:left="1280" w:right="0"/>
        <w:jc w:val="both"/>
        <w:rPr>
          <w:rFonts w:ascii="標楷體" w:hAnsi="標楷體" w:eastAsia="標楷體" w:cs="標楷體"/>
          <w:sz w:val="32"/>
          <w:szCs w:val="32"/>
        </w:rPr>
      </w:pPr>
      <w:r>
        <w:rPr>
          <w:rFonts w:ascii="標楷體" w:hAnsi="標楷體" w:cs="標楷體" w:eastAsia="標楷體"/>
          <w:sz w:val="32"/>
          <w:szCs w:val="32"/>
        </w:rPr>
        <w:t>第十二條　　本辦法自發布日施行。</w:t>
      </w:r>
    </w:p>
    <w:sectPr>
      <w:footerReference w:type="default" r:id="rId2"/>
      <w:type w:val="nextPage"/>
      <w:pgSz w:w="11906" w:h="16838"/>
      <w:pgMar w:left="1701" w:right="1418" w:gutter="0" w:header="0" w:top="1418" w:footer="992" w:bottom="1418"/>
      <w:pgNumType w:fmt="decimal"/>
      <w:formProt w:val="false"/>
      <w:textDirection w:val="lrTb"/>
      <w:docGrid w:type="lines" w:linePitch="108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ambria">
    <w:charset w:val="88"/>
    <w:family w:val="roman"/>
    <w:pitch w:val="variable"/>
  </w:font>
  <w:font w:name="Liberation Sans">
    <w:altName w:val="Arial"/>
    <w:charset w:val="88"/>
    <w:family w:val="swiss"/>
    <w:pitch w:val="variable"/>
  </w:font>
  <w:font w:name="Calibri">
    <w:charset w:val="88"/>
    <w:family w:val="swiss"/>
    <w:pitch w:val="variable"/>
  </w:font>
  <w:font w:name="新細明體">
    <w:altName w:val=" PMingLiU"/>
    <w:charset w:val="88"/>
    <w:family w:val="roman"/>
    <w:pitch w:val="variable"/>
  </w:font>
  <w:font w:name="標楷體">
    <w:charset w:val="88"/>
    <w:family w:val="script"/>
    <w:pitch w:val="default"/>
  </w:font>
  <w:font w:name="Arial Unicode MS">
    <w:altName w:val="Arial"/>
    <w:charset w:val="8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480"/>
  <w:autoHyphenation w:val="true"/>
  <w:hyphenationZone w:val="0"/>
  <w:compat>
    <w:noLeading/>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TC"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textAlignment w:val="baseline"/>
    </w:pPr>
    <w:rPr>
      <w:rFonts w:ascii="Liberation Serif" w:hAnsi="Liberation Serif" w:eastAsia="Noto Serif TC" w:cs="Lucida Sans"/>
      <w:color w:val="auto"/>
      <w:kern w:val="2"/>
      <w:sz w:val="24"/>
      <w:szCs w:val="24"/>
      <w:lang w:val="en-US" w:eastAsia="zh-TW"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預設段落字型"/>
    <w:qFormat/>
    <w:rPr/>
  </w:style>
  <w:style w:type="character" w:styleId="3">
    <w:name w:val="本文縮排 3 字元"/>
    <w:qFormat/>
    <w:rPr>
      <w:rFonts w:ascii="Times New Roman" w:hAnsi="Times New Roman" w:eastAsia="標楷體" w:cs="Times New Roman"/>
      <w:szCs w:val="24"/>
    </w:rPr>
  </w:style>
  <w:style w:type="character" w:styleId="Style15">
    <w:name w:val="頁尾 字元"/>
    <w:qFormat/>
    <w:rPr>
      <w:rFonts w:ascii="Times New Roman" w:hAnsi="Times New Roman" w:eastAsia="新細明體, PMingLiU;新細明體" w:cs="Times New Roman"/>
      <w:sz w:val="20"/>
      <w:szCs w:val="20"/>
    </w:rPr>
  </w:style>
  <w:style w:type="character" w:styleId="Style16">
    <w:name w:val="頁首 字元"/>
    <w:qFormat/>
    <w:rPr>
      <w:kern w:val="2"/>
    </w:rPr>
  </w:style>
  <w:style w:type="character" w:styleId="Style17">
    <w:name w:val="註解方塊文字 字元"/>
    <w:qFormat/>
    <w:rPr>
      <w:rFonts w:ascii="Cambria" w:hAnsi="Cambria" w:eastAsia="新細明體, PMingLiU;新細明體" w:cs="Times New Roman"/>
      <w:kern w:val="2"/>
      <w:sz w:val="18"/>
      <w:szCs w:val="18"/>
    </w:rPr>
  </w:style>
  <w:style w:type="character" w:styleId="Style18">
    <w:name w:val="標題 字元"/>
    <w:qFormat/>
    <w:rPr>
      <w:rFonts w:ascii="Liberation Sans" w:hAnsi="Liberation Sans" w:eastAsia="微軟正黑體" w:cs="Lucida Sans"/>
      <w:kern w:val="2"/>
      <w:sz w:val="28"/>
      <w:szCs w:val="28"/>
    </w:rPr>
  </w:style>
  <w:style w:type="character" w:styleId="Style19">
    <w:name w:val="本文 字元"/>
    <w:qFormat/>
    <w:rPr>
      <w:kern w:val="2"/>
      <w:sz w:val="24"/>
      <w:szCs w:val="22"/>
    </w:rPr>
  </w:style>
  <w:style w:type="paragraph" w:styleId="Style20">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suppressAutoHyphens w:val="true"/>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1">
    <w:name w:val="索引"/>
    <w:basedOn w:val="Normal"/>
    <w:qFormat/>
    <w:pPr>
      <w:suppressLineNumbers/>
    </w:pPr>
    <w:rPr>
      <w:rFonts w:cs="Lucida Sans"/>
    </w:rPr>
  </w:style>
  <w:style w:type="paragraph" w:styleId="Standard">
    <w:name w:val="Standard"/>
    <w:qFormat/>
    <w:pPr>
      <w:widowControl w:val="false"/>
      <w:suppressAutoHyphens w:val="true"/>
      <w:kinsoku w:val="true"/>
      <w:overflowPunct w:val="true"/>
      <w:autoSpaceDE w:val="true"/>
      <w:bidi w:val="0"/>
      <w:textAlignment w:val="baseline"/>
    </w:pPr>
    <w:rPr>
      <w:rFonts w:ascii="Calibri" w:hAnsi="Calibri" w:eastAsia="新細明體, PMingLiU;新細明體" w:cs="Times New Roman"/>
      <w:color w:val="auto"/>
      <w:kern w:val="2"/>
      <w:sz w:val="24"/>
      <w:szCs w:val="22"/>
      <w:lang w:val="en-US" w:eastAsia="zh-TW" w:bidi="ar-SA"/>
    </w:rPr>
  </w:style>
  <w:style w:type="paragraph" w:styleId="Heading">
    <w:name w:val="Heading"/>
    <w:basedOn w:val="Standard"/>
    <w:next w:val="Textbody"/>
    <w:qFormat/>
    <w:pPr>
      <w:keepNext w:val="true"/>
      <w:suppressAutoHyphens w:val="true"/>
      <w:spacing w:before="240" w:after="120"/>
    </w:pPr>
    <w:rPr>
      <w:rFonts w:ascii="Liberation Sans" w:hAnsi="Liberation Sans" w:eastAsia="微軟正黑體" w:cs="Lucida Sans"/>
      <w:sz w:val="28"/>
      <w:szCs w:val="28"/>
    </w:rPr>
  </w:style>
  <w:style w:type="paragraph" w:styleId="Textbody">
    <w:name w:val="Text body"/>
    <w:basedOn w:val="Standard"/>
    <w:qFormat/>
    <w:pPr>
      <w:suppressAutoHyphens w:val="true"/>
      <w:spacing w:before="0" w:after="120"/>
    </w:pPr>
    <w:rPr/>
  </w:style>
  <w:style w:type="paragraph" w:styleId="Style22">
    <w:name w:val="標號"/>
    <w:basedOn w:val="Standard"/>
    <w:qFormat/>
    <w:pPr>
      <w:suppressLineNumbers/>
      <w:suppressAutoHyphens w:val="true"/>
      <w:spacing w:before="120" w:after="120"/>
    </w:pPr>
    <w:rPr>
      <w:rFonts w:cs="Lucida Sans"/>
      <w:i/>
      <w:iCs/>
      <w:szCs w:val="24"/>
    </w:rPr>
  </w:style>
  <w:style w:type="paragraph" w:styleId="Index">
    <w:name w:val="Index"/>
    <w:basedOn w:val="Standard"/>
    <w:qFormat/>
    <w:pPr>
      <w:suppressLineNumbers/>
      <w:suppressAutoHyphens w:val="true"/>
    </w:pPr>
    <w:rPr>
      <w:rFonts w:cs="Lucida Sans"/>
    </w:rPr>
  </w:style>
  <w:style w:type="paragraph" w:styleId="31">
    <w:name w:val="本文縮排 3"/>
    <w:basedOn w:val="Standard"/>
    <w:qFormat/>
    <w:pPr>
      <w:suppressAutoHyphens w:val="true"/>
      <w:ind w:hanging="480" w:left="720" w:right="0"/>
    </w:pPr>
    <w:rPr>
      <w:rFonts w:ascii="Times New Roman" w:hAnsi="Times New Roman" w:eastAsia="標楷體" w:cs="Times New Roman"/>
      <w:szCs w:val="24"/>
    </w:rPr>
  </w:style>
  <w:style w:type="paragraph" w:styleId="HeaderandFooter">
    <w:name w:val="Header and Footer"/>
    <w:basedOn w:val="Standard"/>
    <w:qFormat/>
    <w:pPr>
      <w:suppressLineNumbers/>
      <w:suppressAutoHyphens w:val="true"/>
    </w:pPr>
    <w:rPr/>
  </w:style>
  <w:style w:type="paragraph" w:styleId="Style23">
    <w:name w:val="頁首與頁尾"/>
    <w:basedOn w:val="Normal"/>
    <w:qFormat/>
    <w:pPr>
      <w:suppressLineNumbers/>
      <w:tabs>
        <w:tab w:val="clear" w:pos="480"/>
        <w:tab w:val="center" w:pos="4819" w:leader="none"/>
        <w:tab w:val="right" w:pos="9638" w:leader="none"/>
      </w:tabs>
    </w:pPr>
    <w:rPr/>
  </w:style>
  <w:style w:type="paragraph" w:styleId="Footer">
    <w:name w:val="footer"/>
    <w:basedOn w:val="Standard"/>
    <w:pPr>
      <w:suppressAutoHyphens w:val="true"/>
      <w:snapToGrid w:val="false"/>
    </w:pPr>
    <w:rPr>
      <w:rFonts w:ascii="Times New Roman" w:hAnsi="Times New Roman" w:cs="Times New Roman"/>
      <w:sz w:val="20"/>
      <w:szCs w:val="20"/>
    </w:rPr>
  </w:style>
  <w:style w:type="paragraph" w:styleId="Header">
    <w:name w:val="header"/>
    <w:basedOn w:val="Standard"/>
    <w:pPr>
      <w:suppressAutoHyphens w:val="true"/>
      <w:snapToGrid w:val="false"/>
    </w:pPr>
    <w:rPr>
      <w:sz w:val="20"/>
      <w:szCs w:val="20"/>
    </w:rPr>
  </w:style>
  <w:style w:type="paragraph" w:styleId="Style24">
    <w:name w:val="註解方塊文字"/>
    <w:basedOn w:val="Standard"/>
    <w:qFormat/>
    <w:pPr>
      <w:suppressAutoHyphens w:val="true"/>
    </w:pPr>
    <w:rPr>
      <w:rFonts w:ascii="Cambria" w:hAnsi="Cambria" w:cs="Cambria"/>
      <w:sz w:val="18"/>
      <w:szCs w:val="18"/>
    </w:rPr>
  </w:style>
  <w:style w:type="paragraph" w:styleId="Web">
    <w:name w:val="內文 (Web)"/>
    <w:basedOn w:val="Standard"/>
    <w:qFormat/>
    <w:pPr>
      <w:widowControl/>
      <w:suppressAutoHyphens w:val="true"/>
      <w:spacing w:before="280" w:after="280"/>
      <w:jc w:val="both"/>
    </w:pPr>
    <w:rPr>
      <w:rFonts w:ascii="新細明體, PMingLiU;新細明體" w:hAnsi="新細明體, PMingLiU;新細明體" w:cs="新細明體, PMingLiU;新細明體"/>
      <w:kern w:val="0"/>
      <w:szCs w:val="24"/>
    </w:rPr>
  </w:style>
  <w:style w:type="paragraph" w:styleId="cjk">
    <w:name w:val="cjk"/>
    <w:basedOn w:val="Standard"/>
    <w:qFormat/>
    <w:pPr>
      <w:widowControl/>
      <w:suppressAutoHyphens w:val="true"/>
      <w:spacing w:before="280" w:after="280"/>
      <w:jc w:val="both"/>
    </w:pPr>
    <w:rPr>
      <w:rFonts w:ascii="標楷體" w:hAnsi="標楷體" w:eastAsia="標楷體" w:cs="新細明體, PMingLiU;新細明體"/>
      <w:kern w:val="0"/>
      <w:szCs w:val="24"/>
    </w:rPr>
  </w:style>
  <w:style w:type="paragraph" w:styleId="HTML">
    <w:name w:val="HTML 預設格式"/>
    <w:basedOn w:val="Standard"/>
    <w:qFormat/>
    <w:pPr>
      <w:widowControl/>
      <w:suppressAutoHyphens w:val="true"/>
    </w:pPr>
    <w:rPr>
      <w:rFonts w:ascii="Arial Unicode MS;Arial" w:hAnsi="Arial Unicode MS;Arial" w:eastAsia="Arial Unicode MS;Arial" w:cs="Arial Unicode MS;Arial"/>
      <w:kern w:val="0"/>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LibreOffice/25.8.7.1$Windows_X86_64 LibreOffice_project/39c3b7ac021cfb9f4ca681457ad36828f90e2ce7</Application>
  <AppVersion>15.0000</AppVersion>
  <Pages>4</Pages>
  <Words>2178</Words>
  <Characters>2178</Characters>
  <CharactersWithSpaces>2203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2026-07-13T14:11:00Z</dcterms:created>
  <dc:creator>李珅豪</dc:creator>
  <dc:description/>
  <dc:language>zh-TW</dc:language>
  <cp:lastModifiedBy/>
  <cp:lastPrinted>2019-10-31T01:28:00Z</cp:lastPrinted>
  <dcterms:modified xsi:type="dcterms:W3CDTF">2026-07-13T14:22:55Z</dcterms:modified>
  <cp:revision>5</cp:revision>
  <dc:subject/>
  <dc:title/>
</cp:coreProperties>
</file>