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FA" w:rsidRDefault="00DA4F28">
      <w:pPr>
        <w:rPr>
          <w:rFonts w:ascii="標楷體" w:eastAsia="標楷體" w:hAnsi="標楷體"/>
          <w:b/>
          <w:sz w:val="38"/>
          <w:szCs w:val="38"/>
          <w:shd w:val="clear" w:color="auto" w:fill="FFFFFF"/>
        </w:rPr>
      </w:pPr>
      <w:bookmarkStart w:id="0" w:name="_GoBack"/>
      <w:r>
        <w:rPr>
          <w:rFonts w:ascii="標楷體" w:eastAsia="標楷體" w:hAnsi="標楷體"/>
          <w:b/>
          <w:sz w:val="38"/>
          <w:szCs w:val="38"/>
          <w:shd w:val="clear" w:color="auto" w:fill="FFFFFF"/>
        </w:rPr>
        <w:t>推動平埔族群語言及文化補助要點第四點、第五點、第七點修正規定</w:t>
      </w:r>
    </w:p>
    <w:bookmarkEnd w:id="0"/>
    <w:p w:rsidR="00E846FA" w:rsidRDefault="00DA4F28">
      <w:pPr>
        <w:numPr>
          <w:ilvl w:val="0"/>
          <w:numId w:val="1"/>
        </w:numPr>
        <w:spacing w:line="460" w:lineRule="exact"/>
        <w:ind w:hanging="741"/>
        <w:rPr>
          <w:rFonts w:eastAsia="標楷體" w:cs="Calibri"/>
          <w:sz w:val="28"/>
          <w:szCs w:val="28"/>
        </w:rPr>
      </w:pPr>
      <w:r>
        <w:rPr>
          <w:rFonts w:eastAsia="標楷體" w:cs="Calibri"/>
          <w:sz w:val="28"/>
          <w:szCs w:val="28"/>
        </w:rPr>
        <w:t>補助之原則：</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案件之補助不得超過計畫總經費百分之五十。</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申請單位須編列自籌款，並不得少於補助經費之百分之五。</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每年僅得就同一補助項目補助一次，並不得超過二項。同時向二個以上機關申請補助者，應列明全部經費內容，及向各機關申請補助之項目及金額。</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申請者不得有借用他人名義申請、代為執行或計畫人員高度重疊之情事。違反者，本會得不予受理；已核定補助者，得撤銷或廢止之。</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申請單位如未依補助用途支用、虛設、浮報或違反本要點及其他法令規定者，本會得撤銷補助，追繳補助經費，並得依情節輕重停止補助一年至五年。</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補助經費在公告金額以上，且占採購金額半數以上者，如涉及採購事項，應依政府採購法等相關規定辦理。</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補助經費結報時，應詳列支出用途，並列明全部實支經費總額及各機關實際補助金額。</w:t>
      </w:r>
    </w:p>
    <w:p w:rsidR="00E846FA" w:rsidRDefault="00DA4F28">
      <w:pPr>
        <w:pStyle w:val="a7"/>
        <w:numPr>
          <w:ilvl w:val="0"/>
          <w:numId w:val="2"/>
        </w:numPr>
        <w:spacing w:line="460" w:lineRule="exact"/>
        <w:ind w:left="1276" w:hanging="708"/>
        <w:jc w:val="both"/>
        <w:rPr>
          <w:rFonts w:eastAsia="標楷體" w:cs="Calibri"/>
          <w:sz w:val="28"/>
          <w:szCs w:val="28"/>
        </w:rPr>
      </w:pPr>
      <w:r>
        <w:rPr>
          <w:rFonts w:eastAsia="標楷體" w:cs="Calibri"/>
          <w:sz w:val="28"/>
          <w:szCs w:val="28"/>
        </w:rPr>
        <w:t>補助案件涉有補助財產項目者，申請單位應建立財產管理辦法俾供查核。</w:t>
      </w:r>
    </w:p>
    <w:p w:rsidR="00E846FA" w:rsidRDefault="00E846FA">
      <w:pPr>
        <w:spacing w:line="460" w:lineRule="exact"/>
        <w:rPr>
          <w:rFonts w:ascii="標楷體" w:eastAsia="標楷體" w:hAnsi="標楷體"/>
          <w:sz w:val="28"/>
          <w:szCs w:val="28"/>
        </w:rPr>
      </w:pPr>
    </w:p>
    <w:p w:rsidR="00E846FA" w:rsidRDefault="00DA4F28">
      <w:pPr>
        <w:numPr>
          <w:ilvl w:val="0"/>
          <w:numId w:val="3"/>
        </w:numPr>
        <w:spacing w:line="460" w:lineRule="exact"/>
        <w:ind w:left="589" w:hanging="567"/>
      </w:pPr>
      <w:r>
        <w:rPr>
          <w:rFonts w:eastAsia="標楷體" w:cs="Calibri"/>
          <w:sz w:val="28"/>
          <w:szCs w:val="28"/>
        </w:rPr>
        <w:t>申</w:t>
      </w:r>
      <w:bookmarkStart w:id="1" w:name="_Hlk229759138"/>
      <w:r>
        <w:rPr>
          <w:rFonts w:eastAsia="標楷體" w:cs="Calibri"/>
          <w:sz w:val="28"/>
          <w:szCs w:val="28"/>
        </w:rPr>
        <w:t>請單位應於活動</w:t>
      </w:r>
      <w:r>
        <w:rPr>
          <w:rFonts w:eastAsia="標楷體" w:cs="Calibri"/>
          <w:sz w:val="28"/>
          <w:szCs w:val="28"/>
        </w:rPr>
        <w:t>前一個月，函送計畫書（附件一）、申請書（附件二）各二份，並敘明下列事項，向本會提出申請：</w:t>
      </w:r>
    </w:p>
    <w:p w:rsidR="00E846FA" w:rsidRDefault="00DA4F28">
      <w:pPr>
        <w:pStyle w:val="a7"/>
        <w:numPr>
          <w:ilvl w:val="0"/>
          <w:numId w:val="4"/>
        </w:numPr>
        <w:spacing w:line="460" w:lineRule="exact"/>
        <w:ind w:left="1276" w:hanging="709"/>
        <w:rPr>
          <w:rFonts w:eastAsia="標楷體" w:cs="Calibri"/>
          <w:sz w:val="28"/>
          <w:szCs w:val="28"/>
        </w:rPr>
      </w:pPr>
      <w:r>
        <w:rPr>
          <w:rFonts w:eastAsia="標楷體" w:cs="Calibri"/>
          <w:sz w:val="28"/>
          <w:szCs w:val="28"/>
        </w:rPr>
        <w:t>申請補助之項目及額度。</w:t>
      </w:r>
    </w:p>
    <w:p w:rsidR="00E846FA" w:rsidRDefault="00DA4F28">
      <w:pPr>
        <w:pStyle w:val="a7"/>
        <w:numPr>
          <w:ilvl w:val="0"/>
          <w:numId w:val="4"/>
        </w:numPr>
        <w:spacing w:line="460" w:lineRule="exact"/>
        <w:ind w:left="1276" w:hanging="709"/>
        <w:rPr>
          <w:rFonts w:eastAsia="標楷體" w:cs="Calibri"/>
          <w:sz w:val="28"/>
          <w:szCs w:val="28"/>
        </w:rPr>
      </w:pPr>
      <w:r>
        <w:rPr>
          <w:rFonts w:eastAsia="標楷體" w:cs="Calibri"/>
          <w:sz w:val="28"/>
          <w:szCs w:val="28"/>
        </w:rPr>
        <w:t>有向他機關（構）提出申請補助者，他機關（構）之補助項目及額度。</w:t>
      </w:r>
    </w:p>
    <w:p w:rsidR="00E846FA" w:rsidRDefault="00DA4F28">
      <w:pPr>
        <w:spacing w:line="460" w:lineRule="exact"/>
        <w:ind w:left="960"/>
        <w:jc w:val="both"/>
      </w:pPr>
      <w:r>
        <w:rPr>
          <w:rFonts w:eastAsia="標楷體" w:cs="Calibri"/>
          <w:sz w:val="28"/>
          <w:szCs w:val="28"/>
        </w:rPr>
        <w:t>申請書件未依前項規定提出者，本會得逕予退回，不予審查</w:t>
      </w:r>
      <w:bookmarkEnd w:id="1"/>
      <w:r>
        <w:rPr>
          <w:rFonts w:eastAsia="標楷體" w:cs="Calibri"/>
          <w:sz w:val="28"/>
          <w:szCs w:val="28"/>
        </w:rPr>
        <w:t>。</w:t>
      </w:r>
    </w:p>
    <w:p w:rsidR="00E846FA" w:rsidRDefault="00E846FA">
      <w:pPr>
        <w:spacing w:line="460" w:lineRule="exact"/>
        <w:jc w:val="both"/>
        <w:rPr>
          <w:rFonts w:ascii="標楷體" w:eastAsia="標楷體" w:hAnsi="標楷體"/>
          <w:sz w:val="28"/>
          <w:szCs w:val="28"/>
        </w:rPr>
      </w:pPr>
    </w:p>
    <w:p w:rsidR="00E846FA" w:rsidRDefault="00DA4F28">
      <w:pPr>
        <w:spacing w:line="440" w:lineRule="exact"/>
        <w:ind w:left="566" w:hanging="566"/>
        <w:jc w:val="both"/>
      </w:pPr>
      <w:r>
        <w:rPr>
          <w:rFonts w:eastAsia="標楷體" w:cs="Calibri"/>
          <w:sz w:val="28"/>
          <w:szCs w:val="28"/>
          <w:lang w:eastAsia="zh-HK"/>
        </w:rPr>
        <w:t>七、</w:t>
      </w:r>
      <w:r>
        <w:rPr>
          <w:rFonts w:eastAsia="標楷體" w:cs="Calibri"/>
          <w:sz w:val="28"/>
          <w:szCs w:val="28"/>
        </w:rPr>
        <w:t xml:space="preserve"> </w:t>
      </w:r>
      <w:r>
        <w:rPr>
          <w:rFonts w:eastAsia="標楷體" w:cs="Calibri"/>
          <w:sz w:val="28"/>
          <w:szCs w:val="28"/>
          <w:lang w:eastAsia="zh-HK"/>
        </w:rPr>
        <w:t>本</w:t>
      </w:r>
      <w:r>
        <w:rPr>
          <w:rFonts w:eastAsia="標楷體" w:cs="Calibri"/>
          <w:sz w:val="28"/>
          <w:szCs w:val="28"/>
        </w:rPr>
        <w:t>要點補助經費於補助計畫辦理完竣驗收後，一次撥付。補助</w:t>
      </w:r>
      <w:r>
        <w:rPr>
          <w:rFonts w:eastAsia="標楷體" w:cs="Calibri"/>
          <w:sz w:val="28"/>
          <w:szCs w:val="28"/>
        </w:rPr>
        <w:lastRenderedPageBreak/>
        <w:t>對象應於計畫辦理完竣後一個月內，辦理核銷撥款作業。其支用單據處理及核銷程序，應依本會補捐助民間團體個人及學校經費會計作業注意事項之規定辦理，並檢具下列文件：</w:t>
      </w:r>
      <w:r>
        <w:rPr>
          <w:rFonts w:eastAsia="標楷體" w:cs="Calibri"/>
          <w:sz w:val="28"/>
          <w:szCs w:val="28"/>
        </w:rPr>
        <w:t xml:space="preserve"> </w:t>
      </w:r>
    </w:p>
    <w:p w:rsidR="00E846FA" w:rsidRDefault="00DA4F28">
      <w:pPr>
        <w:pStyle w:val="a7"/>
        <w:numPr>
          <w:ilvl w:val="0"/>
          <w:numId w:val="5"/>
        </w:numPr>
        <w:spacing w:line="440" w:lineRule="exact"/>
        <w:ind w:left="851" w:hanging="142"/>
        <w:jc w:val="both"/>
        <w:rPr>
          <w:rFonts w:eastAsia="標楷體" w:cs="Calibri"/>
          <w:sz w:val="28"/>
          <w:szCs w:val="28"/>
        </w:rPr>
      </w:pPr>
      <w:r>
        <w:rPr>
          <w:rFonts w:eastAsia="標楷體" w:cs="Calibri"/>
          <w:sz w:val="28"/>
          <w:szCs w:val="28"/>
        </w:rPr>
        <w:t>成果報告書（含照片）（如附件三）。</w:t>
      </w:r>
    </w:p>
    <w:p w:rsidR="00E846FA" w:rsidRDefault="00DA4F28">
      <w:pPr>
        <w:pStyle w:val="a7"/>
        <w:numPr>
          <w:ilvl w:val="0"/>
          <w:numId w:val="5"/>
        </w:numPr>
        <w:spacing w:line="440" w:lineRule="exact"/>
        <w:ind w:left="851" w:hanging="142"/>
        <w:jc w:val="both"/>
        <w:rPr>
          <w:rFonts w:eastAsia="標楷體" w:cs="Calibri"/>
          <w:sz w:val="28"/>
          <w:szCs w:val="28"/>
        </w:rPr>
      </w:pPr>
      <w:r>
        <w:rPr>
          <w:rFonts w:eastAsia="標楷體" w:cs="Calibri"/>
          <w:sz w:val="28"/>
          <w:szCs w:val="28"/>
        </w:rPr>
        <w:t>費用結報明細表（如附件四）。</w:t>
      </w:r>
    </w:p>
    <w:p w:rsidR="00E846FA" w:rsidRDefault="00DA4F28">
      <w:pPr>
        <w:pStyle w:val="a7"/>
        <w:numPr>
          <w:ilvl w:val="0"/>
          <w:numId w:val="5"/>
        </w:numPr>
        <w:spacing w:line="440" w:lineRule="exact"/>
        <w:ind w:left="851" w:hanging="142"/>
        <w:jc w:val="both"/>
        <w:rPr>
          <w:rFonts w:eastAsia="標楷體" w:cs="Calibri"/>
          <w:sz w:val="28"/>
          <w:szCs w:val="28"/>
        </w:rPr>
      </w:pPr>
      <w:r>
        <w:rPr>
          <w:rFonts w:eastAsia="標楷體" w:cs="Calibri"/>
          <w:sz w:val="28"/>
          <w:szCs w:val="28"/>
        </w:rPr>
        <w:t>受補（捐）助計畫或活動收支彙總表（如附件四）。</w:t>
      </w:r>
    </w:p>
    <w:p w:rsidR="00E846FA" w:rsidRDefault="00DA4F28">
      <w:pPr>
        <w:pStyle w:val="a7"/>
        <w:numPr>
          <w:ilvl w:val="0"/>
          <w:numId w:val="5"/>
        </w:numPr>
        <w:spacing w:line="440" w:lineRule="exact"/>
        <w:ind w:left="851" w:hanging="142"/>
        <w:jc w:val="both"/>
      </w:pPr>
      <w:r>
        <w:rPr>
          <w:rFonts w:eastAsia="標楷體" w:cs="Calibri"/>
          <w:sz w:val="28"/>
          <w:szCs w:val="28"/>
        </w:rPr>
        <w:t>地方政府檢附領據及納入預算證明。</w:t>
      </w:r>
    </w:p>
    <w:sectPr w:rsidR="00E846FA">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F28" w:rsidRDefault="00DA4F28">
      <w:r>
        <w:separator/>
      </w:r>
    </w:p>
  </w:endnote>
  <w:endnote w:type="continuationSeparator" w:id="0">
    <w:p w:rsidR="00DA4F28" w:rsidRDefault="00D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F28" w:rsidRDefault="00DA4F28">
      <w:r>
        <w:rPr>
          <w:color w:val="000000"/>
        </w:rPr>
        <w:separator/>
      </w:r>
    </w:p>
  </w:footnote>
  <w:footnote w:type="continuationSeparator" w:id="0">
    <w:p w:rsidR="00DA4F28" w:rsidRDefault="00DA4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47BE"/>
    <w:multiLevelType w:val="multilevel"/>
    <w:tmpl w:val="0DB2AA26"/>
    <w:lvl w:ilvl="0">
      <w:start w:val="5"/>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1F40A6"/>
    <w:multiLevelType w:val="multilevel"/>
    <w:tmpl w:val="E1144312"/>
    <w:lvl w:ilvl="0">
      <w:start w:val="4"/>
      <w:numFmt w:val="taiwaneseCountingThousand"/>
      <w:suff w:val="nothing"/>
      <w:lvlText w:val="%1、"/>
      <w:lvlJc w:val="left"/>
      <w:pPr>
        <w:ind w:left="763"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3CA96D5A"/>
    <w:multiLevelType w:val="multilevel"/>
    <w:tmpl w:val="DE9CB004"/>
    <w:lvl w:ilvl="0">
      <w:start w:val="1"/>
      <w:numFmt w:val="taiwaneseCountingThousand"/>
      <w:lvlText w:val="(%1)"/>
      <w:lvlJc w:val="left"/>
      <w:pPr>
        <w:ind w:left="480" w:hanging="480"/>
      </w:pPr>
      <w:rPr>
        <w:rFonts w:ascii="標楷體" w:eastAsia="標楷體" w:hAnsi="標楷體"/>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0895814"/>
    <w:multiLevelType w:val="multilevel"/>
    <w:tmpl w:val="8B329DB0"/>
    <w:lvl w:ilvl="0">
      <w:start w:val="1"/>
      <w:numFmt w:val="taiwaneseCountingThousand"/>
      <w:lvlText w:val="(%1)"/>
      <w:lvlJc w:val="left"/>
      <w:pPr>
        <w:ind w:left="870" w:hanging="39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615E30E0"/>
    <w:multiLevelType w:val="multilevel"/>
    <w:tmpl w:val="5CB85E84"/>
    <w:lvl w:ilvl="0">
      <w:start w:val="1"/>
      <w:numFmt w:val="taiwaneseCountingThousand"/>
      <w:lvlText w:val="(%1)"/>
      <w:lvlJc w:val="left"/>
      <w:pPr>
        <w:ind w:left="1350" w:hanging="480"/>
      </w:pPr>
      <w:rPr>
        <w:rFonts w:ascii="標楷體" w:eastAsia="標楷體" w:hAnsi="標楷體"/>
        <w:color w:val="000000"/>
      </w:rPr>
    </w:lvl>
    <w:lvl w:ilvl="1">
      <w:start w:val="1"/>
      <w:numFmt w:val="ideographTraditional"/>
      <w:lvlText w:val="%2、"/>
      <w:lvlJc w:val="left"/>
      <w:pPr>
        <w:ind w:left="1830" w:hanging="480"/>
      </w:pPr>
    </w:lvl>
    <w:lvl w:ilvl="2">
      <w:start w:val="1"/>
      <w:numFmt w:val="lowerRoman"/>
      <w:lvlText w:val="%3."/>
      <w:lvlJc w:val="right"/>
      <w:pPr>
        <w:ind w:left="2310" w:hanging="480"/>
      </w:pPr>
    </w:lvl>
    <w:lvl w:ilvl="3">
      <w:start w:val="1"/>
      <w:numFmt w:val="decimal"/>
      <w:lvlText w:val="%4."/>
      <w:lvlJc w:val="left"/>
      <w:pPr>
        <w:ind w:left="2790" w:hanging="480"/>
      </w:pPr>
    </w:lvl>
    <w:lvl w:ilvl="4">
      <w:start w:val="1"/>
      <w:numFmt w:val="ideographTraditional"/>
      <w:lvlText w:val="%5、"/>
      <w:lvlJc w:val="left"/>
      <w:pPr>
        <w:ind w:left="3270" w:hanging="480"/>
      </w:pPr>
    </w:lvl>
    <w:lvl w:ilvl="5">
      <w:start w:val="1"/>
      <w:numFmt w:val="lowerRoman"/>
      <w:lvlText w:val="%6."/>
      <w:lvlJc w:val="right"/>
      <w:pPr>
        <w:ind w:left="3750" w:hanging="480"/>
      </w:pPr>
    </w:lvl>
    <w:lvl w:ilvl="6">
      <w:start w:val="1"/>
      <w:numFmt w:val="decimal"/>
      <w:lvlText w:val="%7."/>
      <w:lvlJc w:val="left"/>
      <w:pPr>
        <w:ind w:left="4230" w:hanging="480"/>
      </w:pPr>
    </w:lvl>
    <w:lvl w:ilvl="7">
      <w:start w:val="1"/>
      <w:numFmt w:val="ideographTraditional"/>
      <w:lvlText w:val="%8、"/>
      <w:lvlJc w:val="left"/>
      <w:pPr>
        <w:ind w:left="4710" w:hanging="480"/>
      </w:pPr>
    </w:lvl>
    <w:lvl w:ilvl="8">
      <w:start w:val="1"/>
      <w:numFmt w:val="lowerRoman"/>
      <w:lvlText w:val="%9."/>
      <w:lvlJc w:val="right"/>
      <w:pPr>
        <w:ind w:left="519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846FA"/>
    <w:rsid w:val="00DA4F28"/>
    <w:rsid w:val="00E846FA"/>
    <w:rsid w:val="00F71F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07A2A-0238-45A4-92BB-EC12AA2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張儀婷</dc:creator>
  <dc:description/>
  <cp:lastModifiedBy>USER</cp:lastModifiedBy>
  <cp:revision>2</cp:revision>
  <dcterms:created xsi:type="dcterms:W3CDTF">2026-05-29T01:15:00Z</dcterms:created>
  <dcterms:modified xsi:type="dcterms:W3CDTF">2026-05-29T01:15:00Z</dcterms:modified>
</cp:coreProperties>
</file>