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E55" w:rsidRDefault="00EA2E55" w:rsidP="002F6307">
      <w:pPr>
        <w:pStyle w:val="Web"/>
        <w:widowControl w:val="0"/>
        <w:spacing w:before="0" w:beforeAutospacing="0" w:after="0" w:afterAutospacing="0" w:line="500" w:lineRule="exact"/>
        <w:jc w:val="center"/>
        <w:rPr>
          <w:rFonts w:ascii="新細明體" w:eastAsia="新細明體" w:hAnsi="新細明體"/>
          <w:b/>
          <w:color w:val="auto"/>
          <w:sz w:val="48"/>
          <w:szCs w:val="28"/>
        </w:rPr>
      </w:pPr>
      <w:r>
        <w:rPr>
          <w:rFonts w:ascii="新細明體" w:eastAsia="新細明體" w:hAnsi="新細明體" w:hint="eastAsia"/>
          <w:b/>
          <w:color w:val="auto"/>
          <w:sz w:val="48"/>
          <w:szCs w:val="28"/>
        </w:rPr>
        <w:t>玖、環境保護</w:t>
      </w:r>
    </w:p>
    <w:p w:rsidR="00EA2E55" w:rsidRDefault="00EA2E55" w:rsidP="002F6307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</w:p>
    <w:p w:rsidR="00EA2E55" w:rsidRDefault="00EA2E55" w:rsidP="002F6307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在人口快速成長及各種經濟活動蓬勃發展下，使得環境負荷日益沉重。無論是垃圾、廢水、廢氣、噪音或其他污染都直接或間接的影響人們生活，甚至危害健康。故政府在近幾年積極加強環保教育與宣導，希望在此努力下能解決環境負荷所帶來的環境污染與破壞問題，還給這片土地原有的清淨面貌。</w:t>
      </w:r>
    </w:p>
    <w:p w:rsidR="00EA2E55" w:rsidRDefault="00EA2E55" w:rsidP="002F6307">
      <w:pPr>
        <w:pStyle w:val="5"/>
        <w:spacing w:before="0" w:line="500" w:lineRule="exact"/>
        <w:jc w:val="both"/>
        <w:rPr>
          <w:rStyle w:val="a3"/>
          <w:rFonts w:ascii="新細明體" w:eastAsia="新細明體" w:hAnsi="新細明體" w:cs="Arial Unicode MS"/>
          <w:b w:val="0"/>
          <w:bCs w:val="0"/>
          <w:i w:val="0"/>
          <w:iCs/>
          <w:color w:val="auto"/>
          <w:sz w:val="28"/>
          <w:szCs w:val="28"/>
        </w:rPr>
      </w:pPr>
    </w:p>
    <w:p w:rsidR="00EA2E55" w:rsidRDefault="00EA2E55" w:rsidP="002F6307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i/>
          <w:iCs/>
          <w:color w:val="auto"/>
          <w:sz w:val="28"/>
          <w:szCs w:val="28"/>
        </w:rPr>
      </w:pPr>
      <w:r>
        <w:rPr>
          <w:rStyle w:val="a3"/>
          <w:rFonts w:ascii="新細明體" w:eastAsia="新細明體" w:hAnsi="新細明體" w:cs="Arial Unicode MS" w:hint="eastAsia"/>
          <w:b w:val="0"/>
          <w:bCs w:val="0"/>
          <w:i w:val="0"/>
          <w:iCs/>
          <w:color w:val="auto"/>
          <w:sz w:val="28"/>
          <w:szCs w:val="28"/>
        </w:rPr>
        <w:t>一、垃圾清運處理概況</w:t>
      </w:r>
    </w:p>
    <w:p w:rsidR="00EA2E55" w:rsidRDefault="00EA2E55" w:rsidP="002F6307">
      <w:pPr>
        <w:pStyle w:val="5"/>
        <w:spacing w:before="0" w:line="500" w:lineRule="exact"/>
        <w:ind w:firstLineChars="200" w:firstLine="560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本市</w:t>
      </w:r>
      <w:r w:rsidR="00DA7F65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114</w:t>
      </w:r>
      <w:r w:rsidR="00B1281F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年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度平均每日垃圾清運量</w:t>
      </w:r>
      <w:r w:rsidR="00A1790C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70.70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公噸，較</w:t>
      </w:r>
      <w:r w:rsidR="00AA09A2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11</w:t>
      </w:r>
      <w:r w:rsidR="00A1790C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3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年度</w:t>
      </w:r>
      <w:r w:rsidR="00A1790C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59.02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</w:t>
      </w:r>
      <w:r w:rsidR="00A1790C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增加1</w:t>
      </w:r>
      <w:r w:rsidR="00A1790C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1.68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公噸或</w:t>
      </w:r>
      <w:r w:rsidR="00A1790C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19.79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％，</w:t>
      </w:r>
      <w:r w:rsidR="00DA7F65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114</w:t>
      </w:r>
      <w:r w:rsidR="00B1281F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年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垃圾清運量</w:t>
      </w:r>
      <w:r w:rsidR="00E4682D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2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5</w:t>
      </w:r>
      <w:r w:rsidR="00E4682D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,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805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公噸，較</w:t>
      </w:r>
      <w:r w:rsidR="00AA09A2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11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3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年垃圾清運量</w:t>
      </w:r>
      <w:r w:rsidR="00A868A9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2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</w:t>
      </w:r>
      <w:r w:rsidR="00E4682D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,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543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公噸，</w:t>
      </w:r>
      <w:r w:rsidR="00336968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增加4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,262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公噸或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19.78</w:t>
      </w:r>
      <w:r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%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，資源回收量</w:t>
      </w:r>
      <w:r w:rsidR="00A80263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3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8</w:t>
      </w:r>
      <w:r w:rsidR="00220B1A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,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217</w:t>
      </w:r>
      <w:r w:rsidR="00D673E1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，較</w:t>
      </w:r>
      <w:r w:rsidR="00AA09A2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</w:t>
      </w:r>
      <w:r w:rsidR="00A868A9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3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年資源回收量</w:t>
      </w:r>
      <w:r w:rsidR="00336968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3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5,440</w:t>
      </w:r>
      <w:r w:rsidR="00336968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公噸，增加2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,777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公噸，按人口平均計算</w:t>
      </w:r>
      <w:r w:rsidR="00DA7F65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114</w:t>
      </w:r>
      <w:r w:rsidR="00B1281F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年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度平均每人每日垃圾清運量為</w:t>
      </w:r>
      <w:r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0.</w:t>
      </w:r>
      <w:r w:rsidR="00336968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t>69</w:t>
      </w:r>
      <w:r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公斤。</w:t>
      </w:r>
    </w:p>
    <w:p w:rsidR="00CC5C49" w:rsidRPr="00FF754B" w:rsidRDefault="00CC5C49" w:rsidP="002F6307">
      <w:pPr>
        <w:pStyle w:val="5"/>
        <w:spacing w:before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</w:p>
    <w:p w:rsidR="002E73E9" w:rsidRDefault="003A2369" w:rsidP="00177948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15566F" wp14:editId="41A1893C">
            <wp:simplePos x="0" y="0"/>
            <wp:positionH relativeFrom="margin">
              <wp:align>left</wp:align>
            </wp:positionH>
            <wp:positionV relativeFrom="paragraph">
              <wp:posOffset>451485</wp:posOffset>
            </wp:positionV>
            <wp:extent cx="5686425" cy="2752725"/>
            <wp:effectExtent l="0" t="0" r="9525" b="9525"/>
            <wp:wrapTight wrapText="bothSides">
              <wp:wrapPolygon edited="0">
                <wp:start x="0" y="0"/>
                <wp:lineTo x="0" y="21525"/>
                <wp:lineTo x="21564" y="21525"/>
                <wp:lineTo x="21564" y="0"/>
                <wp:lineTo x="0" y="0"/>
              </wp:wrapPolygon>
            </wp:wrapTight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F00" w:rsidRDefault="00592F00" w:rsidP="00177948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</w:p>
    <w:p w:rsidR="00BF3CCF" w:rsidRDefault="009E5CFE" w:rsidP="00177948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7650AA9" wp14:editId="7A56EF00">
            <wp:simplePos x="0" y="0"/>
            <wp:positionH relativeFrom="margin">
              <wp:posOffset>309245</wp:posOffset>
            </wp:positionH>
            <wp:positionV relativeFrom="paragraph">
              <wp:posOffset>842645</wp:posOffset>
            </wp:positionV>
            <wp:extent cx="516255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20" y="21456"/>
                <wp:lineTo x="21520" y="0"/>
                <wp:lineTo x="0" y="0"/>
              </wp:wrapPolygon>
            </wp:wrapTight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6A7"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br/>
      </w:r>
      <w:bookmarkStart w:id="0" w:name="_GoBack"/>
      <w:bookmarkEnd w:id="0"/>
    </w:p>
    <w:p w:rsidR="00177948" w:rsidRDefault="009E5CFE" w:rsidP="00177948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  <w:r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  <w:br/>
      </w:r>
      <w:r w:rsidR="00177948">
        <w:rPr>
          <w:rFonts w:ascii="新細明體" w:eastAsia="新細明體" w:hAnsi="新細明體" w:hint="eastAsia"/>
          <w:b w:val="0"/>
          <w:bCs w:val="0"/>
          <w:color w:val="auto"/>
          <w:sz w:val="28"/>
          <w:szCs w:val="28"/>
        </w:rPr>
        <w:t>二、垃圾水肥處理情形</w:t>
      </w:r>
    </w:p>
    <w:p w:rsidR="00177948" w:rsidRDefault="00177948" w:rsidP="00177948">
      <w:pPr>
        <w:spacing w:line="500" w:lineRule="exact"/>
        <w:ind w:firstLineChars="200" w:firstLine="560"/>
        <w:jc w:val="both"/>
        <w:rPr>
          <w:rFonts w:hAnsi="新細明體"/>
          <w:szCs w:val="28"/>
        </w:rPr>
      </w:pPr>
      <w:r>
        <w:rPr>
          <w:rFonts w:hAnsi="新細明體" w:hint="eastAsia"/>
          <w:szCs w:val="28"/>
        </w:rPr>
        <w:t>本市自民國105年起因</w:t>
      </w:r>
      <w:r>
        <w:rPr>
          <w:rFonts w:hAnsi="新細明體"/>
          <w:szCs w:val="28"/>
        </w:rPr>
        <w:t>水肥車報廢</w:t>
      </w:r>
      <w:r>
        <w:rPr>
          <w:rFonts w:hAnsi="新細明體" w:hint="eastAsia"/>
          <w:szCs w:val="28"/>
        </w:rPr>
        <w:t>，</w:t>
      </w:r>
      <w:r>
        <w:rPr>
          <w:rFonts w:hAnsi="新細明體"/>
          <w:szCs w:val="28"/>
        </w:rPr>
        <w:t>故</w:t>
      </w:r>
      <w:r>
        <w:rPr>
          <w:rFonts w:hAnsi="新細明體" w:hint="eastAsia"/>
          <w:szCs w:val="28"/>
        </w:rPr>
        <w:t>無調查表列資料可供查填。</w:t>
      </w:r>
    </w:p>
    <w:p w:rsidR="00EA2E55" w:rsidRDefault="00EA2E55" w:rsidP="002F6307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</w:p>
    <w:p w:rsidR="004461A7" w:rsidRPr="00177948" w:rsidRDefault="004461A7" w:rsidP="002F6307">
      <w:pPr>
        <w:pStyle w:val="5"/>
        <w:spacing w:before="0" w:line="500" w:lineRule="exact"/>
        <w:jc w:val="both"/>
        <w:rPr>
          <w:rFonts w:ascii="新細明體" w:eastAsia="新細明體" w:hAnsi="新細明體"/>
          <w:b w:val="0"/>
          <w:bCs w:val="0"/>
          <w:color w:val="auto"/>
          <w:sz w:val="28"/>
          <w:szCs w:val="28"/>
        </w:rPr>
      </w:pPr>
    </w:p>
    <w:p w:rsidR="00EA2E55" w:rsidRPr="00E35AD5" w:rsidRDefault="00EA2E55" w:rsidP="002F6307">
      <w:pPr>
        <w:jc w:val="both"/>
      </w:pPr>
    </w:p>
    <w:sectPr w:rsidR="00EA2E55" w:rsidRPr="00E35AD5" w:rsidSect="009D289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314" w:rsidRDefault="008B0314" w:rsidP="0085559B">
      <w:r>
        <w:separator/>
      </w:r>
    </w:p>
  </w:endnote>
  <w:endnote w:type="continuationSeparator" w:id="0">
    <w:p w:rsidR="008B0314" w:rsidRDefault="008B0314" w:rsidP="00855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314" w:rsidRDefault="008B0314" w:rsidP="0085559B">
      <w:r>
        <w:separator/>
      </w:r>
    </w:p>
  </w:footnote>
  <w:footnote w:type="continuationSeparator" w:id="0">
    <w:p w:rsidR="008B0314" w:rsidRDefault="008B0314" w:rsidP="00855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A715C"/>
    <w:multiLevelType w:val="hybridMultilevel"/>
    <w:tmpl w:val="4844EABC"/>
    <w:lvl w:ilvl="0" w:tplc="A26E01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78"/>
    <w:rsid w:val="00004B9C"/>
    <w:rsid w:val="00023FCB"/>
    <w:rsid w:val="00032543"/>
    <w:rsid w:val="00062737"/>
    <w:rsid w:val="000715E7"/>
    <w:rsid w:val="00074328"/>
    <w:rsid w:val="00082E25"/>
    <w:rsid w:val="00082E94"/>
    <w:rsid w:val="000948B6"/>
    <w:rsid w:val="00097618"/>
    <w:rsid w:val="000A7D8D"/>
    <w:rsid w:val="000D3363"/>
    <w:rsid w:val="000E1CCA"/>
    <w:rsid w:val="000E321F"/>
    <w:rsid w:val="0011790E"/>
    <w:rsid w:val="00123A27"/>
    <w:rsid w:val="001463E6"/>
    <w:rsid w:val="00177948"/>
    <w:rsid w:val="001828A0"/>
    <w:rsid w:val="001B7DA6"/>
    <w:rsid w:val="001D788F"/>
    <w:rsid w:val="001E2E10"/>
    <w:rsid w:val="00220B1A"/>
    <w:rsid w:val="002561DC"/>
    <w:rsid w:val="002B7EF8"/>
    <w:rsid w:val="002E2FB9"/>
    <w:rsid w:val="002E73E9"/>
    <w:rsid w:val="002F6307"/>
    <w:rsid w:val="003012EA"/>
    <w:rsid w:val="00333F2F"/>
    <w:rsid w:val="00336968"/>
    <w:rsid w:val="00346D12"/>
    <w:rsid w:val="00347E7F"/>
    <w:rsid w:val="00375004"/>
    <w:rsid w:val="003A2369"/>
    <w:rsid w:val="003B52A6"/>
    <w:rsid w:val="003D0A0A"/>
    <w:rsid w:val="004135EA"/>
    <w:rsid w:val="004315C8"/>
    <w:rsid w:val="004461A7"/>
    <w:rsid w:val="00461952"/>
    <w:rsid w:val="00481BD1"/>
    <w:rsid w:val="004841B2"/>
    <w:rsid w:val="00495683"/>
    <w:rsid w:val="004B20EF"/>
    <w:rsid w:val="004C0A37"/>
    <w:rsid w:val="004C1231"/>
    <w:rsid w:val="004C2868"/>
    <w:rsid w:val="004F32AA"/>
    <w:rsid w:val="00500BE6"/>
    <w:rsid w:val="005146A7"/>
    <w:rsid w:val="00540357"/>
    <w:rsid w:val="00572FC5"/>
    <w:rsid w:val="00580451"/>
    <w:rsid w:val="00592F00"/>
    <w:rsid w:val="005A599C"/>
    <w:rsid w:val="005A6721"/>
    <w:rsid w:val="005E040F"/>
    <w:rsid w:val="00602BAB"/>
    <w:rsid w:val="00605D1F"/>
    <w:rsid w:val="0067535C"/>
    <w:rsid w:val="006841C1"/>
    <w:rsid w:val="006959FC"/>
    <w:rsid w:val="006C376D"/>
    <w:rsid w:val="006D0B86"/>
    <w:rsid w:val="006D45FC"/>
    <w:rsid w:val="006E6577"/>
    <w:rsid w:val="007522ED"/>
    <w:rsid w:val="00764CED"/>
    <w:rsid w:val="007B5781"/>
    <w:rsid w:val="007C3151"/>
    <w:rsid w:val="007D2CCE"/>
    <w:rsid w:val="00801F09"/>
    <w:rsid w:val="00821A80"/>
    <w:rsid w:val="00830AD4"/>
    <w:rsid w:val="0085559B"/>
    <w:rsid w:val="008B0314"/>
    <w:rsid w:val="009027FA"/>
    <w:rsid w:val="0091027C"/>
    <w:rsid w:val="0095687D"/>
    <w:rsid w:val="00966EB2"/>
    <w:rsid w:val="009977D0"/>
    <w:rsid w:val="009A3A74"/>
    <w:rsid w:val="009C4792"/>
    <w:rsid w:val="009D289B"/>
    <w:rsid w:val="009E5CFE"/>
    <w:rsid w:val="009F571A"/>
    <w:rsid w:val="00A12B5D"/>
    <w:rsid w:val="00A1790C"/>
    <w:rsid w:val="00A320C9"/>
    <w:rsid w:val="00A53E15"/>
    <w:rsid w:val="00A74AEB"/>
    <w:rsid w:val="00A80263"/>
    <w:rsid w:val="00A868A9"/>
    <w:rsid w:val="00AA09A2"/>
    <w:rsid w:val="00AF161A"/>
    <w:rsid w:val="00B00686"/>
    <w:rsid w:val="00B1022B"/>
    <w:rsid w:val="00B1281F"/>
    <w:rsid w:val="00B35953"/>
    <w:rsid w:val="00B37578"/>
    <w:rsid w:val="00B6590C"/>
    <w:rsid w:val="00BA1EFE"/>
    <w:rsid w:val="00BD5A03"/>
    <w:rsid w:val="00BF3CCF"/>
    <w:rsid w:val="00C231BC"/>
    <w:rsid w:val="00C2755F"/>
    <w:rsid w:val="00C36792"/>
    <w:rsid w:val="00C46234"/>
    <w:rsid w:val="00C76616"/>
    <w:rsid w:val="00C907CB"/>
    <w:rsid w:val="00C92C63"/>
    <w:rsid w:val="00CB73BC"/>
    <w:rsid w:val="00CC5C49"/>
    <w:rsid w:val="00D06AB8"/>
    <w:rsid w:val="00D41FFF"/>
    <w:rsid w:val="00D51711"/>
    <w:rsid w:val="00D673E1"/>
    <w:rsid w:val="00D8284E"/>
    <w:rsid w:val="00D85D77"/>
    <w:rsid w:val="00DA2AFD"/>
    <w:rsid w:val="00DA7F65"/>
    <w:rsid w:val="00DB3558"/>
    <w:rsid w:val="00DC5BD6"/>
    <w:rsid w:val="00DD2438"/>
    <w:rsid w:val="00DE765F"/>
    <w:rsid w:val="00DF1D5B"/>
    <w:rsid w:val="00DF4673"/>
    <w:rsid w:val="00E04179"/>
    <w:rsid w:val="00E35AD5"/>
    <w:rsid w:val="00E4682D"/>
    <w:rsid w:val="00E55029"/>
    <w:rsid w:val="00E709D4"/>
    <w:rsid w:val="00E83029"/>
    <w:rsid w:val="00EA2E55"/>
    <w:rsid w:val="00EA5A1E"/>
    <w:rsid w:val="00ED00CB"/>
    <w:rsid w:val="00EE29B4"/>
    <w:rsid w:val="00EF1F5D"/>
    <w:rsid w:val="00F243E3"/>
    <w:rsid w:val="00F2455D"/>
    <w:rsid w:val="00F6125D"/>
    <w:rsid w:val="00F77D5C"/>
    <w:rsid w:val="00FB6EF8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63884E"/>
  <w15:docId w15:val="{0D20AE33-F94E-4E69-A88C-2D7DFC3A7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89B"/>
    <w:pPr>
      <w:widowControl w:val="0"/>
    </w:pPr>
    <w:rPr>
      <w:rFonts w:ascii="新細明體"/>
      <w:kern w:val="2"/>
      <w:sz w:val="28"/>
      <w:szCs w:val="26"/>
    </w:rPr>
  </w:style>
  <w:style w:type="paragraph" w:styleId="5">
    <w:name w:val="heading 5"/>
    <w:basedOn w:val="a"/>
    <w:link w:val="50"/>
    <w:uiPriority w:val="99"/>
    <w:qFormat/>
    <w:rsid w:val="009D289B"/>
    <w:pPr>
      <w:widowControl/>
      <w:spacing w:before="192"/>
      <w:outlineLvl w:val="4"/>
    </w:pPr>
    <w:rPr>
      <w:rFonts w:ascii="Arial Unicode MS" w:eastAsia="Arial Unicode MS" w:hAnsi="Arial Unicode MS" w:cs="Arial Unicode MS"/>
      <w:b/>
      <w:bCs/>
      <w:color w:val="000000"/>
      <w:kern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link w:val="5"/>
    <w:uiPriority w:val="9"/>
    <w:semiHidden/>
    <w:rsid w:val="00FA7A8E"/>
    <w:rPr>
      <w:rFonts w:ascii="Cambria" w:eastAsia="新細明體" w:hAnsi="Cambria" w:cs="Times New Roman"/>
      <w:b/>
      <w:bCs/>
      <w:sz w:val="36"/>
      <w:szCs w:val="36"/>
    </w:rPr>
  </w:style>
  <w:style w:type="paragraph" w:styleId="Web">
    <w:name w:val="Normal (Web)"/>
    <w:basedOn w:val="a"/>
    <w:uiPriority w:val="99"/>
    <w:rsid w:val="009D289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 w:val="24"/>
      <w:szCs w:val="24"/>
    </w:rPr>
  </w:style>
  <w:style w:type="character" w:styleId="a3">
    <w:name w:val="Emphasis"/>
    <w:uiPriority w:val="99"/>
    <w:qFormat/>
    <w:rsid w:val="009D289B"/>
    <w:rPr>
      <w:rFonts w:cs="Times New Roman"/>
      <w:i/>
    </w:rPr>
  </w:style>
  <w:style w:type="paragraph" w:styleId="a4">
    <w:name w:val="header"/>
    <w:basedOn w:val="a"/>
    <w:link w:val="a5"/>
    <w:uiPriority w:val="99"/>
    <w:rsid w:val="008555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85559B"/>
    <w:rPr>
      <w:rFonts w:ascii="新細明體" w:cs="Times New Roman"/>
      <w:kern w:val="2"/>
    </w:rPr>
  </w:style>
  <w:style w:type="paragraph" w:styleId="a6">
    <w:name w:val="footer"/>
    <w:basedOn w:val="a"/>
    <w:link w:val="a7"/>
    <w:uiPriority w:val="99"/>
    <w:rsid w:val="008555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85559B"/>
    <w:rPr>
      <w:rFonts w:ascii="新細明體" w:cs="Times New Roman"/>
      <w:kern w:val="2"/>
    </w:rPr>
  </w:style>
  <w:style w:type="paragraph" w:styleId="a8">
    <w:name w:val="Balloon Text"/>
    <w:basedOn w:val="a"/>
    <w:link w:val="a9"/>
    <w:uiPriority w:val="99"/>
    <w:rsid w:val="009C4792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9C479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4120;&#29992;\&#32113;&#35336;&#24180;&#22577;\114&#24180;&#32113;&#35336;&#24180;&#22577;\9&#29872;&#20445;114.xls" TargetMode="External"/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4120;&#29992;\&#32113;&#35336;&#24180;&#22577;\114&#24180;&#32113;&#35336;&#24180;&#22577;\9&#29872;&#20445;11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600">
                <a:latin typeface="標楷體" panose="03000509000000000000" pitchFamily="65" charset="-120"/>
                <a:ea typeface="標楷體" panose="03000509000000000000" pitchFamily="65" charset="-120"/>
              </a:rPr>
              <a:t>臺東市歷年垃圾清運量及資源回收量</a:t>
            </a:r>
          </a:p>
        </c:rich>
      </c:tx>
      <c:layout>
        <c:manualLayout>
          <c:xMode val="edge"/>
          <c:yMode val="edge"/>
          <c:x val="0.211135611907387"/>
          <c:y val="5.818566516794498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9498722199198785E-2"/>
          <c:y val="0.2213039485766759"/>
          <c:w val="0.88248956994480288"/>
          <c:h val="0.613069853871571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圖1!$B$7</c:f>
              <c:strCache>
                <c:ptCount val="1"/>
                <c:pt idx="0">
                  <c:v>垃圾清運量</c:v>
                </c:pt>
              </c:strCache>
            </c:strRef>
          </c:tx>
          <c:spPr>
            <a:blipFill dpi="0" rotWithShape="0">
              <a:blip xmlns:r="http://schemas.openxmlformats.org/officeDocument/2006/relationships" r:embed="rId1"/>
              <a:srcRect/>
              <a:tile tx="0" ty="0" sx="100000" sy="100000" flip="none" algn="tl"/>
            </a:blipFill>
            <a:ln w="25400">
              <a:noFill/>
            </a:ln>
          </c:spPr>
          <c:invertIfNegative val="0"/>
          <c:dPt>
            <c:idx val="4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cmpd="dbl">
                <a:solidFill>
                  <a:schemeClr val="accent1"/>
                </a:solidFill>
                <a:prstDash val="dashDot"/>
              </a:ln>
              <a:effectLst/>
            </c:spPr>
            <c:extLst>
              <c:ext xmlns:c16="http://schemas.microsoft.com/office/drawing/2014/chart" uri="{C3380CC4-5D6E-409C-BE32-E72D297353CC}">
                <c16:uniqueId val="{00000001-2A4D-4CF3-8F35-AA71F1736A50}"/>
              </c:ext>
            </c:extLst>
          </c:dPt>
          <c:dLbls>
            <c:dLbl>
              <c:idx val="1"/>
              <c:layout>
                <c:manualLayout>
                  <c:x val="-1.8171493469619555E-2"/>
                  <c:y val="-1.0227682871714806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A4D-4CF3-8F35-AA71F1736A50}"/>
                </c:ext>
              </c:extLst>
            </c:dLbl>
            <c:dLbl>
              <c:idx val="2"/>
              <c:layout>
                <c:manualLayout>
                  <c:x val="-5.8832075754091237E-3"/>
                  <c:y val="-2.996524083138256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A4D-4CF3-8F35-AA71F1736A50}"/>
                </c:ext>
              </c:extLst>
            </c:dLbl>
            <c:dLbl>
              <c:idx val="3"/>
              <c:layout>
                <c:manualLayout>
                  <c:x val="-1.5338232177499552E-2"/>
                  <c:y val="-2.6924903301561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A4D-4CF3-8F35-AA71F1736A50}"/>
                </c:ext>
              </c:extLst>
            </c:dLbl>
            <c:dLbl>
              <c:idx val="4"/>
              <c:layout>
                <c:manualLayout>
                  <c:x val="-1.5551384881237624E-2"/>
                  <c:y val="-5.55221715706589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A4D-4CF3-8F35-AA71F1736A50}"/>
                </c:ext>
              </c:extLst>
            </c:dLbl>
            <c:dLbl>
              <c:idx val="5"/>
              <c:layout>
                <c:manualLayout>
                  <c:x val="-1.8679261764228856E-2"/>
                  <c:y val="-4.338861051459476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A4D-4CF3-8F35-AA71F1736A50}"/>
                </c:ext>
              </c:extLst>
            </c:dLbl>
            <c:dLbl>
              <c:idx val="6"/>
              <c:layout>
                <c:manualLayout>
                  <c:x val="-1.3779311714325183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A4D-4CF3-8F35-AA71F1736A50}"/>
                </c:ext>
              </c:extLst>
            </c:dLbl>
            <c:dLbl>
              <c:idx val="7"/>
              <c:layout>
                <c:manualLayout>
                  <c:x val="-1.6666666666666666E-2"/>
                  <c:y val="4.243778136006664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A4D-4CF3-8F35-AA71F1736A50}"/>
                </c:ext>
              </c:extLst>
            </c:dLbl>
            <c:dLbl>
              <c:idx val="8"/>
              <c:layout>
                <c:manualLayout>
                  <c:x val="-1.9444444444444445E-2"/>
                  <c:y val="4.243778136006664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A4D-4CF3-8F35-AA71F1736A50}"/>
                </c:ext>
              </c:extLst>
            </c:dLbl>
            <c:dLbl>
              <c:idx val="9"/>
              <c:layout>
                <c:manualLayout>
                  <c:x val="-1.9444444444444445E-2"/>
                  <c:y val="-4.6296296296296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A4D-4CF3-8F35-AA71F1736A50}"/>
                </c:ext>
              </c:extLst>
            </c:dLbl>
            <c:numFmt formatCode="#,##0_);[Red]\(#,##0\)" sourceLinked="0"/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圖1!$A$8:$A$17</c:f>
              <c:numCache>
                <c:formatCode>General</c:formatCode>
                <c:ptCount val="10"/>
                <c:pt idx="0">
                  <c:v>105</c:v>
                </c:pt>
                <c:pt idx="1">
                  <c:v>106</c:v>
                </c:pt>
                <c:pt idx="2">
                  <c:v>107</c:v>
                </c:pt>
                <c:pt idx="3">
                  <c:v>108</c:v>
                </c:pt>
                <c:pt idx="4">
                  <c:v>109</c:v>
                </c:pt>
                <c:pt idx="5">
                  <c:v>110</c:v>
                </c:pt>
                <c:pt idx="6">
                  <c:v>111</c:v>
                </c:pt>
                <c:pt idx="7">
                  <c:v>112</c:v>
                </c:pt>
                <c:pt idx="8">
                  <c:v>113</c:v>
                </c:pt>
                <c:pt idx="9">
                  <c:v>114</c:v>
                </c:pt>
              </c:numCache>
            </c:numRef>
          </c:cat>
          <c:val>
            <c:numRef>
              <c:f>圖1!$B$8:$B$17</c:f>
              <c:numCache>
                <c:formatCode>General</c:formatCode>
                <c:ptCount val="10"/>
                <c:pt idx="0">
                  <c:v>18318</c:v>
                </c:pt>
                <c:pt idx="1">
                  <c:v>19016</c:v>
                </c:pt>
                <c:pt idx="2">
                  <c:v>22855</c:v>
                </c:pt>
                <c:pt idx="3">
                  <c:v>18663</c:v>
                </c:pt>
                <c:pt idx="4">
                  <c:v>21323</c:v>
                </c:pt>
                <c:pt idx="5">
                  <c:v>22009</c:v>
                </c:pt>
                <c:pt idx="6">
                  <c:v>17807</c:v>
                </c:pt>
                <c:pt idx="7">
                  <c:v>22206</c:v>
                </c:pt>
                <c:pt idx="8">
                  <c:v>21543</c:v>
                </c:pt>
                <c:pt idx="9">
                  <c:v>25805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A4D-4CF3-8F35-AA71F1736A50}"/>
            </c:ext>
          </c:extLst>
        </c:ser>
        <c:ser>
          <c:idx val="1"/>
          <c:order val="1"/>
          <c:tx>
            <c:strRef>
              <c:f>圖1!$C$7</c:f>
              <c:strCache>
                <c:ptCount val="1"/>
                <c:pt idx="0">
                  <c:v>資源回收量</c:v>
                </c:pt>
              </c:strCache>
            </c:strRef>
          </c:tx>
          <c:spPr>
            <a:blipFill dpi="0" rotWithShape="0">
              <a:blip xmlns:r="http://schemas.openxmlformats.org/officeDocument/2006/relationships" r:embed="rId2"/>
              <a:srcRect/>
              <a:tile tx="0" ty="0" sx="100000" sy="100000" flip="none" algn="tl"/>
            </a:blip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343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A4D-4CF3-8F35-AA71F1736A50}"/>
                </c:ext>
              </c:extLst>
            </c:dLbl>
            <c:dLbl>
              <c:idx val="1"/>
              <c:layout>
                <c:manualLayout>
                  <c:x val="9.9612101061009786E-3"/>
                  <c:y val="-9.18007786941938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A4D-4CF3-8F35-AA71F1736A50}"/>
                </c:ext>
              </c:extLst>
            </c:dLbl>
            <c:dLbl>
              <c:idx val="2"/>
              <c:layout>
                <c:manualLayout>
                  <c:x val="1.439518526964368E-2"/>
                  <c:y val="-3.34728033472803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A4D-4CF3-8F35-AA71F1736A50}"/>
                </c:ext>
              </c:extLst>
            </c:dLbl>
            <c:dLbl>
              <c:idx val="3"/>
              <c:layout>
                <c:manualLayout>
                  <c:x val="3.2147648210639561E-3"/>
                  <c:y val="-3.97414212112375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A4D-4CF3-8F35-AA71F1736A50}"/>
                </c:ext>
              </c:extLst>
            </c:dLbl>
            <c:dLbl>
              <c:idx val="4"/>
              <c:layout>
                <c:manualLayout>
                  <c:x val="3.7267080745340664E-3"/>
                  <c:y val="-2.19298245614035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A4D-4CF3-8F35-AA71F1736A50}"/>
                </c:ext>
              </c:extLst>
            </c:dLbl>
            <c:dLbl>
              <c:idx val="5"/>
              <c:layout>
                <c:manualLayout>
                  <c:x val="1.9444444444444445E-2"/>
                  <c:y val="-8.487556272013328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A4D-4CF3-8F35-AA71F1736A50}"/>
                </c:ext>
              </c:extLst>
            </c:dLbl>
            <c:dLbl>
              <c:idx val="6"/>
              <c:layout>
                <c:manualLayout>
                  <c:x val="1.666666666666666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A4D-4CF3-8F35-AA71F1736A50}"/>
                </c:ext>
              </c:extLst>
            </c:dLbl>
            <c:dLbl>
              <c:idx val="8"/>
              <c:layout>
                <c:manualLayout>
                  <c:x val="-4.8731131271031692E-3"/>
                  <c:y val="-1.0942893501948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A4D-4CF3-8F35-AA71F1736A50}"/>
                </c:ext>
              </c:extLst>
            </c:dLbl>
            <c:dLbl>
              <c:idx val="9"/>
              <c:layout>
                <c:manualLayout>
                  <c:x val="2.7777431149155134E-3"/>
                  <c:y val="-6.733874174819056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2A4D-4CF3-8F35-AA71F1736A50}"/>
                </c:ext>
              </c:extLst>
            </c:dLbl>
            <c:numFmt formatCode="#,##0_);[Red]\(#,##0\)" sourceLinked="0"/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圖1!$A$8:$A$17</c:f>
              <c:numCache>
                <c:formatCode>General</c:formatCode>
                <c:ptCount val="10"/>
                <c:pt idx="0">
                  <c:v>105</c:v>
                </c:pt>
                <c:pt idx="1">
                  <c:v>106</c:v>
                </c:pt>
                <c:pt idx="2">
                  <c:v>107</c:v>
                </c:pt>
                <c:pt idx="3">
                  <c:v>108</c:v>
                </c:pt>
                <c:pt idx="4">
                  <c:v>109</c:v>
                </c:pt>
                <c:pt idx="5">
                  <c:v>110</c:v>
                </c:pt>
                <c:pt idx="6">
                  <c:v>111</c:v>
                </c:pt>
                <c:pt idx="7">
                  <c:v>112</c:v>
                </c:pt>
                <c:pt idx="8">
                  <c:v>113</c:v>
                </c:pt>
                <c:pt idx="9">
                  <c:v>114</c:v>
                </c:pt>
              </c:numCache>
            </c:numRef>
          </c:cat>
          <c:val>
            <c:numRef>
              <c:f>圖1!$C$8:$C$17</c:f>
              <c:numCache>
                <c:formatCode>General</c:formatCode>
                <c:ptCount val="10"/>
                <c:pt idx="0">
                  <c:v>26428</c:v>
                </c:pt>
                <c:pt idx="1">
                  <c:v>27479</c:v>
                </c:pt>
                <c:pt idx="2">
                  <c:v>27838</c:v>
                </c:pt>
                <c:pt idx="3">
                  <c:v>28448</c:v>
                </c:pt>
                <c:pt idx="4">
                  <c:v>32557</c:v>
                </c:pt>
                <c:pt idx="5">
                  <c:v>33353</c:v>
                </c:pt>
                <c:pt idx="6">
                  <c:v>33496</c:v>
                </c:pt>
                <c:pt idx="7">
                  <c:v>36359</c:v>
                </c:pt>
                <c:pt idx="8">
                  <c:v>35440</c:v>
                </c:pt>
                <c:pt idx="9">
                  <c:v>38217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2A4D-4CF3-8F35-AA71F1736A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55800143"/>
        <c:axId val="1"/>
      </c:barChart>
      <c:catAx>
        <c:axId val="11558001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155800143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852562296833849"/>
          <c:y val="0.92341756443624468"/>
          <c:w val="0.31952675421534832"/>
          <c:h val="5.6453068889401381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altLang="en-US" sz="1600">
                <a:latin typeface="標楷體" panose="03000509000000000000" pitchFamily="65" charset="-120"/>
                <a:ea typeface="標楷體" panose="03000509000000000000" pitchFamily="65" charset="-120"/>
              </a:rPr>
              <a:t>臺東市一般垃圾與資源回收量比例</a:t>
            </a:r>
            <a:endParaRPr lang="en-US" altLang="zh-TW" sz="1600">
              <a:latin typeface="標楷體" panose="03000509000000000000" pitchFamily="65" charset="-120"/>
              <a:ea typeface="標楷體" panose="03000509000000000000" pitchFamily="65" charset="-120"/>
            </a:endParaRPr>
          </a:p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en-US" altLang="zh-TW" sz="1600">
                <a:latin typeface="標楷體" panose="03000509000000000000" pitchFamily="65" charset="-120"/>
                <a:ea typeface="標楷體" panose="03000509000000000000" pitchFamily="65" charset="-120"/>
              </a:rPr>
              <a:t>114</a:t>
            </a:r>
            <a:r>
              <a:rPr lang="zh-TW" altLang="en-US" sz="1600">
                <a:latin typeface="標楷體" panose="03000509000000000000" pitchFamily="65" charset="-120"/>
                <a:ea typeface="標楷體" panose="03000509000000000000" pitchFamily="65" charset="-120"/>
              </a:rPr>
              <a:t>年</a:t>
            </a:r>
          </a:p>
        </c:rich>
      </c:tx>
      <c:layout>
        <c:manualLayout>
          <c:xMode val="edge"/>
          <c:yMode val="edge"/>
          <c:x val="0.20123456790123456"/>
          <c:y val="2.7210884353741496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圖1!$A$20</c:f>
              <c:strCache>
                <c:ptCount val="1"/>
                <c:pt idx="0">
                  <c:v>114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6A4-4398-9E42-1E979C7813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6A4-4398-9E42-1E979C781360}"/>
              </c:ext>
            </c:extLst>
          </c:dPt>
          <c:dLbls>
            <c:numFmt formatCode="0.00%" sourceLinked="0"/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圖1!$B$19:$C$19</c:f>
              <c:strCache>
                <c:ptCount val="2"/>
                <c:pt idx="0">
                  <c:v>垃圾清運量</c:v>
                </c:pt>
                <c:pt idx="1">
                  <c:v>資源回收量</c:v>
                </c:pt>
              </c:strCache>
            </c:strRef>
          </c:cat>
          <c:val>
            <c:numRef>
              <c:f>圖1!$B$20:$C$20</c:f>
              <c:numCache>
                <c:formatCode>General</c:formatCode>
                <c:ptCount val="2"/>
                <c:pt idx="0">
                  <c:v>25805</c:v>
                </c:pt>
                <c:pt idx="1">
                  <c:v>38217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6A4-4398-9E42-1E979C7813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</Words>
  <Characters>331</Characters>
  <Application>Microsoft Office Word</Application>
  <DocSecurity>0</DocSecurity>
  <Lines>2</Lines>
  <Paragraphs>1</Paragraphs>
  <ScaleCrop>false</ScaleCrop>
  <Company>All User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玖、環境保護</dc:title>
  <dc:subject/>
  <dc:creator>user</dc:creator>
  <cp:keywords/>
  <dc:description/>
  <cp:lastModifiedBy>USER</cp:lastModifiedBy>
  <cp:revision>7</cp:revision>
  <cp:lastPrinted>2022-10-21T01:26:00Z</cp:lastPrinted>
  <dcterms:created xsi:type="dcterms:W3CDTF">2026-10-16T08:21:00Z</dcterms:created>
  <dcterms:modified xsi:type="dcterms:W3CDTF">2026-10-21T07:58:00Z</dcterms:modified>
</cp:coreProperties>
</file>