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B8F" w:rsidRPr="009C3F7B" w:rsidRDefault="00A500D2" w:rsidP="009C3F7B">
      <w:pPr>
        <w:pStyle w:val="a5"/>
        <w:ind w:left="561" w:hangingChars="200" w:hanging="561"/>
        <w:jc w:val="center"/>
        <w:rPr>
          <w:rFonts w:ascii="標楷體" w:eastAsia="標楷體" w:hint="eastAsia"/>
          <w:b/>
          <w:sz w:val="28"/>
          <w:szCs w:val="28"/>
        </w:rPr>
      </w:pPr>
      <w:bookmarkStart w:id="0" w:name="_GoBack"/>
      <w:bookmarkEnd w:id="0"/>
      <w:r w:rsidRPr="009C3F7B">
        <w:rPr>
          <w:rFonts w:ascii="標楷體" w:eastAsia="標楷體" w:hint="eastAsia"/>
          <w:b/>
          <w:sz w:val="28"/>
          <w:szCs w:val="28"/>
        </w:rPr>
        <w:t>臺東縣</w:t>
      </w:r>
      <w:r w:rsidR="00B37293" w:rsidRPr="009C3F7B">
        <w:rPr>
          <w:rFonts w:ascii="標楷體" w:eastAsia="標楷體" w:hint="eastAsia"/>
          <w:b/>
          <w:sz w:val="28"/>
          <w:szCs w:val="28"/>
        </w:rPr>
        <w:t>臺東市</w:t>
      </w:r>
      <w:r w:rsidR="00E42B8F" w:rsidRPr="009C3F7B">
        <w:rPr>
          <w:rFonts w:ascii="標楷體" w:eastAsia="標楷體" w:hint="eastAsia"/>
          <w:b/>
          <w:sz w:val="28"/>
          <w:szCs w:val="28"/>
        </w:rPr>
        <w:t>資源回收成果統計編製說明</w:t>
      </w:r>
    </w:p>
    <w:p w:rsidR="00E42B8F" w:rsidRDefault="00E42B8F" w:rsidP="009C3F7B">
      <w:pPr>
        <w:pStyle w:val="a5"/>
        <w:numPr>
          <w:ilvl w:val="0"/>
          <w:numId w:val="1"/>
        </w:numPr>
        <w:tabs>
          <w:tab w:val="clear" w:pos="570"/>
        </w:tabs>
        <w:ind w:left="486" w:hanging="486"/>
        <w:rPr>
          <w:rFonts w:ascii="標楷體" w:eastAsia="標楷體" w:hint="eastAsia"/>
        </w:rPr>
      </w:pPr>
      <w:r>
        <w:rPr>
          <w:rFonts w:ascii="標楷體" w:eastAsia="標楷體" w:hint="eastAsia"/>
        </w:rPr>
        <w:t>統計範圍及對象：</w:t>
      </w:r>
      <w:r w:rsidR="008C139A">
        <w:rPr>
          <w:rFonts w:ascii="標楷體" w:eastAsia="標楷體" w:hint="eastAsia"/>
        </w:rPr>
        <w:t>本</w:t>
      </w:r>
      <w:r w:rsidR="00A500D2" w:rsidRPr="00A500D2">
        <w:rPr>
          <w:rFonts w:ascii="標楷體" w:eastAsia="標楷體" w:hint="eastAsia"/>
        </w:rPr>
        <w:t>所</w:t>
      </w:r>
      <w:r>
        <w:rPr>
          <w:rFonts w:ascii="標楷體" w:eastAsia="標楷體" w:hint="eastAsia"/>
        </w:rPr>
        <w:t>(清潔隊)、社區、學校、機關團體回收之一般廢棄物均為統計對象。</w:t>
      </w:r>
    </w:p>
    <w:p w:rsidR="00E42B8F" w:rsidRDefault="00E42B8F">
      <w:pPr>
        <w:pStyle w:val="a5"/>
        <w:rPr>
          <w:rFonts w:ascii="標楷體" w:eastAsia="標楷體" w:hint="eastAsia"/>
        </w:rPr>
      </w:pPr>
      <w:r>
        <w:rPr>
          <w:rFonts w:ascii="標楷體" w:eastAsia="標楷體" w:hint="eastAsia"/>
        </w:rPr>
        <w:t>二、統計標準時間：以每月一日至月底之事實為準。</w:t>
      </w:r>
    </w:p>
    <w:p w:rsidR="00E42B8F" w:rsidRDefault="00E42B8F">
      <w:pPr>
        <w:pStyle w:val="a5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三、分類標準：(一)縱行科目按回收項目別分。</w:t>
      </w:r>
    </w:p>
    <w:p w:rsidR="00E42B8F" w:rsidRDefault="00E42B8F">
      <w:pPr>
        <w:pStyle w:val="a5"/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　　　　　　　(二)</w:t>
      </w:r>
      <w:r w:rsidR="00EC4890">
        <w:rPr>
          <w:rFonts w:ascii="標楷體" w:eastAsia="標楷體" w:hint="eastAsia"/>
        </w:rPr>
        <w:t>橫列科目按</w:t>
      </w:r>
      <w:r>
        <w:rPr>
          <w:rFonts w:ascii="標楷體" w:eastAsia="標楷體" w:hint="eastAsia"/>
        </w:rPr>
        <w:t>回收單位別分。</w:t>
      </w:r>
    </w:p>
    <w:p w:rsidR="00E42B8F" w:rsidRDefault="00E42B8F">
      <w:pPr>
        <w:pStyle w:val="a5"/>
        <w:rPr>
          <w:rFonts w:ascii="標楷體" w:eastAsia="標楷體"/>
        </w:rPr>
      </w:pPr>
      <w:r>
        <w:rPr>
          <w:rFonts w:ascii="標楷體" w:eastAsia="標楷體" w:hint="eastAsia"/>
        </w:rPr>
        <w:t>四、統計科目定義(單位或說明)：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>
        <w:rPr>
          <w:rFonts w:ascii="標楷體" w:eastAsia="標楷體" w:hint="eastAsia"/>
        </w:rPr>
        <w:t>(一)回收單位：指清潔隊、社區、學校、機關團體四大類單位，如由回收商取得回收資料，不可與清潔隊、社區、學校、機關團體提供之資料重複計算。社區、學校及機關團體之回收量，如交由清潔隊回收者計入清潔隊之回收量，如交由慈善團體者計入慈善團體之回收量，並不得重複計算</w:t>
      </w:r>
      <w:r>
        <w:rPr>
          <w:rFonts w:eastAsia="標楷體" w:hint="eastAsia"/>
        </w:rPr>
        <w:t>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Ansi="標楷體" w:hint="eastAsia"/>
        </w:rPr>
      </w:pPr>
      <w:r>
        <w:rPr>
          <w:rFonts w:ascii="標楷體" w:eastAsia="標楷體" w:hint="eastAsia"/>
        </w:rPr>
        <w:t>(</w:t>
      </w:r>
      <w:r>
        <w:rPr>
          <w:rFonts w:ascii="標楷體" w:eastAsia="標楷體" w:hAnsi="標楷體" w:hint="eastAsia"/>
        </w:rPr>
        <w:t>二)清潔隊回收量：指直接交由清潔隊回收之一般廢棄物，惟拾荒者若納入各執行機關輔導之義工時，清潔隊可製作表格供其填報，並審核其所提報資料無誤且不重複，確保申報資料之正確性後，將資料計入清潔隊回收量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>(三)機關團體回收量：指一般私人企業、公務部門、風景遊樂區、慈善團體等(不含回收商)，回收之一般廢棄物，不含事業廢棄物。</w:t>
      </w:r>
    </w:p>
    <w:p w:rsidR="00E42B8F" w:rsidRPr="005C644D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Ansi="標楷體" w:hint="eastAsia"/>
        </w:rPr>
      </w:pPr>
      <w:r w:rsidRPr="005C644D">
        <w:rPr>
          <w:rFonts w:ascii="標楷體" w:eastAsia="標楷體" w:hAnsi="標楷體" w:hint="eastAsia"/>
        </w:rPr>
        <w:t>(四)紙類：指紙及其製品((五)紙容器除外)，如：電腦報表紙、報紙、電話簿、牛皮紙袋、紙盒、雜誌、書籍、影印紙、傳真紙等。</w:t>
      </w:r>
    </w:p>
    <w:p w:rsidR="00E42B8F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</w:rPr>
      </w:pPr>
      <w:r>
        <w:rPr>
          <w:rFonts w:ascii="標楷體" w:eastAsia="標楷體" w:hint="eastAsia"/>
        </w:rPr>
        <w:t>(五)紙容器：指裝填調製食品（含調味品）、飲料、酒（含藥酒）、醋、包裝飲用水、調製食用油脂、乳製品、化粧品（不含彩粧類）、清潔劑、塗料（含油漆、樹脂）、一般環境用藥等之紙容器。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>
        <w:rPr>
          <w:rFonts w:ascii="標楷體" w:eastAsia="標楷體" w:hint="eastAsia"/>
        </w:rPr>
        <w:t>(六)鋁箔包：指裝填調製食品（含調味品）、飲料、酒（含藥酒）、醋、包裝飲用水、調製食用油脂、乳製品、化粧品（不含彩粧類）、清潔劑、塗料（含油漆、樹脂）、一般環境用藥等之鋁箔包。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>
        <w:rPr>
          <w:rFonts w:ascii="標楷體" w:eastAsia="標楷體" w:hint="eastAsia"/>
        </w:rPr>
        <w:t>(七)鋁罐：指裝填調製食品（含調味品）、飲料、酒（含藥酒）、醋、包裝飲用水、調製食用油脂、乳製品、化粧品（不含彩粧類）、清潔劑、塗料（含油漆、樹脂）、一般環境用藥等之鋁罐。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>
        <w:rPr>
          <w:rFonts w:ascii="標楷體" w:eastAsia="標楷體" w:hAnsi="標楷體" w:hint="eastAsia"/>
        </w:rPr>
        <w:t>(八)鐵罐：指裝填調製食品（含調味品）、飲料、酒（含藥酒）、醋、包裝飲用水、調製</w:t>
      </w:r>
      <w:r>
        <w:rPr>
          <w:rFonts w:ascii="標楷體" w:eastAsia="標楷體" w:hint="eastAsia"/>
        </w:rPr>
        <w:t>食用油脂、乳製品、化粧品（不含彩粧類）、清潔劑、塗料（含油漆、樹脂）、一般環境用藥等之鐵罐。</w:t>
      </w:r>
    </w:p>
    <w:p w:rsidR="00E42B8F" w:rsidRPr="005C644D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  <w:b/>
          <w:i/>
          <w:u w:val="single"/>
        </w:rPr>
      </w:pPr>
      <w:r w:rsidRPr="005C644D">
        <w:rPr>
          <w:rFonts w:ascii="標楷體" w:eastAsia="標楷體" w:hint="eastAsia"/>
        </w:rPr>
        <w:t>(九)</w:t>
      </w:r>
      <w:r w:rsidRPr="005C644D">
        <w:rPr>
          <w:rFonts w:ascii="標楷體" w:eastAsia="標楷體" w:hint="eastAsia"/>
          <w:bCs/>
          <w:iCs/>
        </w:rPr>
        <w:t>其他金屬製品：指公告應回收廢棄物鐵罐、鋁罐項目以外之其他金屬製品，如一般鐵、鋁、銅...等金屬製品。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 w:rsidRPr="005C644D">
        <w:rPr>
          <w:rFonts w:ascii="標楷體" w:eastAsia="標楷體" w:hint="eastAsia"/>
        </w:rPr>
        <w:t>(十)塑膠</w:t>
      </w:r>
      <w:r w:rsidRPr="005C644D">
        <w:rPr>
          <w:rFonts w:ascii="標楷體" w:eastAsia="標楷體" w:hint="eastAsia"/>
          <w:bCs/>
          <w:iCs/>
        </w:rPr>
        <w:t>容器</w:t>
      </w:r>
      <w:r w:rsidRPr="005C644D">
        <w:rPr>
          <w:rFonts w:ascii="標楷體" w:eastAsia="標楷體" w:hint="eastAsia"/>
        </w:rPr>
        <w:t>：包括寶特瓶、發泡塑膠容器，即俗稱之保麗龍免洗餐具(如餐盤、便當盒、碗碟、生鮮超市之托盤等)與其他塑膠容器(如</w:t>
      </w:r>
      <w:r>
        <w:rPr>
          <w:rFonts w:ascii="標楷體" w:eastAsia="標楷體" w:hint="eastAsia"/>
        </w:rPr>
        <w:t>ＰＶＣ、ＰＰ、ＰＥ、ＰＳ等材質之礦泉水瓶、牛奶瓶、養樂多瓶、家庭用食用品油、清潔劑(指液體清潔劑、洗髮精、潤髮乳、</w:t>
      </w:r>
      <w:r>
        <w:rPr>
          <w:rFonts w:ascii="標楷體" w:eastAsia="標楷體" w:hint="eastAsia"/>
        </w:rPr>
        <w:lastRenderedPageBreak/>
        <w:t>沐浴乳等)、一般環境用藥等塑膠容器)。</w:t>
      </w:r>
    </w:p>
    <w:p w:rsidR="00E42B8F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  <w:color w:val="000000"/>
        </w:rPr>
      </w:pPr>
      <w:r>
        <w:rPr>
          <w:rFonts w:ascii="標楷體" w:eastAsia="標楷體" w:hint="eastAsia"/>
          <w:color w:val="000000"/>
        </w:rPr>
        <w:t>(十一)包裝用發泡塑膠：指發泡聚苯乙烯（EPS）、發泡聚乙烯（EPE）、發泡聚丙烯（EPP）、發泡乙烯聚合物（EPO）等作為緩衝材、保溫絕熱材之包裝。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 w:hint="eastAsia"/>
        </w:rPr>
      </w:pPr>
      <w:r>
        <w:rPr>
          <w:rFonts w:ascii="標楷體" w:eastAsia="標楷體" w:hint="eastAsia"/>
        </w:rPr>
        <w:t>(十二)輪胎：指使用於機動車輛及腳踏車之外胎。</w:t>
      </w:r>
    </w:p>
    <w:p w:rsidR="00E42B8F" w:rsidRDefault="00E42B8F" w:rsidP="00E15FA8">
      <w:pPr>
        <w:pStyle w:val="a5"/>
        <w:tabs>
          <w:tab w:val="left" w:pos="16080"/>
        </w:tabs>
        <w:ind w:leftChars="184" w:left="1193" w:hangingChars="313" w:hanging="751"/>
        <w:rPr>
          <w:rFonts w:ascii="標楷體" w:eastAsia="標楷體" w:hint="eastAsia"/>
        </w:rPr>
      </w:pPr>
      <w:r>
        <w:rPr>
          <w:rFonts w:ascii="標楷體" w:eastAsia="標楷體" w:hint="eastAsia"/>
        </w:rPr>
        <w:t>(十三)玻璃容器：指裝填調製食品（含調味品）、飲料、酒（含藥酒）、醋、包裝飲用水、調製食用油脂、乳製品、化粧品（不含彩粧類）、清潔劑、塗料（含油漆、樹脂）、一般環境用藥等之玻璃容器。</w:t>
      </w:r>
    </w:p>
    <w:p w:rsidR="00E42B8F" w:rsidRDefault="00E42B8F" w:rsidP="00E15FA8">
      <w:pPr>
        <w:pStyle w:val="a5"/>
        <w:tabs>
          <w:tab w:val="left" w:pos="16080"/>
        </w:tabs>
        <w:ind w:leftChars="182" w:left="1181" w:hangingChars="310" w:hanging="744"/>
        <w:rPr>
          <w:rFonts w:ascii="標楷體" w:eastAsia="標楷體" w:hAnsi="標楷體" w:hint="eastAsia"/>
        </w:rPr>
      </w:pPr>
      <w:r>
        <w:rPr>
          <w:rFonts w:ascii="標楷體" w:eastAsia="標楷體" w:hint="eastAsia"/>
        </w:rPr>
        <w:t>(十四)</w:t>
      </w:r>
      <w:r>
        <w:rPr>
          <w:rFonts w:ascii="標楷體" w:eastAsia="標楷體" w:hAnsi="標楷體" w:hint="eastAsia"/>
        </w:rPr>
        <w:t>照明光源：指目前公告應回收之直管日光燈、環管日光燈、安定器內藏式螢光燈泡、緊密型螢光燈管、燈帽直徑2.6公分以上之白熾燈</w:t>
      </w:r>
      <w:r w:rsidRPr="00B37293">
        <w:rPr>
          <w:rFonts w:ascii="標楷體" w:eastAsia="標楷體" w:hAnsi="標楷體" w:hint="eastAsia"/>
        </w:rPr>
        <w:t>泡</w:t>
      </w:r>
      <w:r w:rsidR="003A79AF" w:rsidRPr="00B37293">
        <w:rPr>
          <w:rFonts w:ascii="標楷體" w:eastAsia="標楷體" w:hAnsi="標楷體" w:cs="細明體" w:hint="eastAsia"/>
        </w:rPr>
        <w:t>、高強度照明燈管、冷陰極燈、感應式螢光燈及其他含汞燈</w:t>
      </w:r>
      <w:r>
        <w:rPr>
          <w:rFonts w:ascii="標楷體" w:eastAsia="標楷體" w:hAnsi="標楷體" w:hint="eastAsia"/>
        </w:rPr>
        <w:t>。</w:t>
      </w:r>
    </w:p>
    <w:p w:rsidR="00E42B8F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</w:rPr>
      </w:pPr>
      <w:r>
        <w:rPr>
          <w:rFonts w:ascii="標楷體" w:eastAsia="標楷體" w:hint="eastAsia"/>
        </w:rPr>
        <w:t>(十五)電池：指乾電池及含鉛蓄電池。</w:t>
      </w:r>
    </w:p>
    <w:p w:rsidR="00E42B8F" w:rsidRPr="005C644D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</w:rPr>
      </w:pPr>
      <w:r w:rsidRPr="005C644D">
        <w:rPr>
          <w:rFonts w:ascii="標楷體" w:eastAsia="標楷體" w:hint="eastAsia"/>
        </w:rPr>
        <w:t>(十六)行動電話(含充電器)：指行動電話及其充電器(包括座充及旅充)。</w:t>
      </w:r>
    </w:p>
    <w:p w:rsidR="00E42B8F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</w:rPr>
      </w:pPr>
      <w:r>
        <w:rPr>
          <w:rFonts w:ascii="標楷體" w:eastAsia="標楷體" w:hint="eastAsia"/>
        </w:rPr>
        <w:t>(十七)農藥容器及特殊環境用藥容器：指以塑膠、玻璃、金屬、紙、鋁箔或其他經行政院環境保護署公告之單一或複合材質製成，用以直接裝填成品農藥或特殊環境用藥之容器。</w:t>
      </w:r>
    </w:p>
    <w:p w:rsidR="00E42B8F" w:rsidRDefault="00E42B8F">
      <w:pPr>
        <w:pStyle w:val="a5"/>
        <w:tabs>
          <w:tab w:val="left" w:pos="16080"/>
        </w:tabs>
        <w:ind w:leftChars="184" w:left="963" w:hangingChars="217" w:hanging="521"/>
        <w:rPr>
          <w:rFonts w:ascii="標楷體" w:eastAsia="標楷體"/>
        </w:rPr>
      </w:pPr>
      <w:r>
        <w:rPr>
          <w:rFonts w:ascii="標楷體" w:eastAsia="標楷體" w:hint="eastAsia"/>
        </w:rPr>
        <w:t>(十八)其他：包含</w:t>
      </w:r>
    </w:p>
    <w:p w:rsidR="00E42B8F" w:rsidRDefault="00E42B8F">
      <w:pPr>
        <w:pStyle w:val="a5"/>
        <w:ind w:left="1191" w:firstLine="249"/>
        <w:rPr>
          <w:rFonts w:ascii="標楷體" w:eastAsia="標楷體"/>
        </w:rPr>
      </w:pPr>
      <w:r>
        <w:rPr>
          <w:rFonts w:ascii="標楷體" w:eastAsia="標楷體" w:hint="eastAsia"/>
        </w:rPr>
        <w:t>1.潤滑油：僅限清潔隊收集者。</w:t>
      </w:r>
    </w:p>
    <w:p w:rsidR="00E42B8F" w:rsidRDefault="00E42B8F">
      <w:pPr>
        <w:pStyle w:val="a5"/>
        <w:ind w:left="1191" w:firstLine="249"/>
        <w:rPr>
          <w:rFonts w:ascii="標楷體" w:eastAsia="標楷體" w:hint="eastAsia"/>
        </w:rPr>
      </w:pPr>
      <w:r>
        <w:rPr>
          <w:rFonts w:ascii="標楷體" w:eastAsia="標楷體" w:hint="eastAsia"/>
        </w:rPr>
        <w:t>2.食用油：不含餐飲業的食用油。</w:t>
      </w:r>
    </w:p>
    <w:p w:rsidR="00E42B8F" w:rsidRDefault="00E42B8F">
      <w:pPr>
        <w:pStyle w:val="a5"/>
        <w:ind w:left="1191" w:firstLine="249"/>
        <w:rPr>
          <w:rFonts w:ascii="標楷體" w:eastAsia="標楷體" w:hint="eastAsia"/>
        </w:rPr>
      </w:pPr>
      <w:r>
        <w:rPr>
          <w:rFonts w:ascii="標楷體" w:eastAsia="標楷體" w:hint="eastAsia"/>
        </w:rPr>
        <w:t>3.其他回收項目。</w:t>
      </w:r>
    </w:p>
    <w:p w:rsidR="00E42B8F" w:rsidRDefault="00E42B8F">
      <w:pPr>
        <w:pStyle w:val="a5"/>
        <w:ind w:left="1440"/>
        <w:rPr>
          <w:rFonts w:ascii="標楷體" w:eastAsia="標楷體" w:hint="eastAsia"/>
        </w:rPr>
      </w:pPr>
      <w:r>
        <w:rPr>
          <w:rFonts w:ascii="標楷體" w:eastAsia="標楷體" w:hint="eastAsia"/>
        </w:rPr>
        <w:t>填列本項時，需註明回收物品名稱，若有兩種以上時，請將回收物品名稱及數量分別列出。惟「機動車輛」、「廚餘」、「巨大垃圾」回收之成果已另案統計，故本項資料不包括該三項回收量。</w:t>
      </w:r>
    </w:p>
    <w:p w:rsidR="00E42B8F" w:rsidRDefault="00E42B8F">
      <w:pPr>
        <w:pStyle w:val="a5"/>
        <w:tabs>
          <w:tab w:val="left" w:pos="16080"/>
        </w:tabs>
        <w:ind w:leftChars="185" w:left="1224" w:hangingChars="325" w:hanging="780"/>
        <w:rPr>
          <w:rFonts w:ascii="標楷體" w:eastAsia="標楷體" w:hint="eastAsia"/>
        </w:rPr>
      </w:pPr>
      <w:r>
        <w:rPr>
          <w:rFonts w:ascii="標楷體" w:eastAsia="標楷體" w:hint="eastAsia"/>
        </w:rPr>
        <w:t>(十九)本表皆以公斤為單位，若無法得其實際重量，折算標準如下：</w:t>
      </w:r>
    </w:p>
    <w:p w:rsidR="00E42B8F" w:rsidRDefault="00E42B8F">
      <w:pPr>
        <w:pStyle w:val="a5"/>
        <w:ind w:left="1680" w:hanging="240"/>
        <w:rPr>
          <w:rFonts w:ascii="標楷體" w:eastAsia="標楷體" w:hint="eastAsia"/>
        </w:rPr>
      </w:pPr>
      <w:r>
        <w:rPr>
          <w:rFonts w:ascii="標楷體" w:eastAsia="標楷體" w:hint="eastAsia"/>
        </w:rPr>
        <w:t>1.寶特瓶24.8支以一公斤計。</w:t>
      </w:r>
    </w:p>
    <w:p w:rsidR="00E42B8F" w:rsidRDefault="00E42B8F">
      <w:pPr>
        <w:pStyle w:val="a5"/>
        <w:ind w:left="1680" w:hanging="240"/>
        <w:rPr>
          <w:rFonts w:ascii="標楷體" w:eastAsia="標楷體" w:hint="eastAsia"/>
        </w:rPr>
      </w:pPr>
      <w:r>
        <w:rPr>
          <w:rFonts w:ascii="標楷體" w:eastAsia="標楷體" w:hint="eastAsia"/>
        </w:rPr>
        <w:t>2.輪胎：機動車輛一條以8.7公斤計；腳踏車一條以0.618公斤計。</w:t>
      </w:r>
    </w:p>
    <w:p w:rsidR="00E42B8F" w:rsidRDefault="00E42B8F">
      <w:pPr>
        <w:pStyle w:val="a5"/>
        <w:ind w:left="1680" w:hanging="240"/>
        <w:rPr>
          <w:rFonts w:ascii="標楷體" w:eastAsia="標楷體" w:hint="eastAsia"/>
        </w:rPr>
      </w:pPr>
      <w:r>
        <w:rPr>
          <w:rFonts w:ascii="標楷體" w:eastAsia="標楷體" w:hint="eastAsia"/>
        </w:rPr>
        <w:t>3.電視機一台以25公</w:t>
      </w:r>
      <w:r w:rsidRPr="00B37293">
        <w:rPr>
          <w:rFonts w:ascii="標楷體" w:eastAsia="標楷體" w:hint="eastAsia"/>
        </w:rPr>
        <w:t>斤計</w:t>
      </w:r>
      <w:r w:rsidR="005C644D" w:rsidRPr="00B37293">
        <w:rPr>
          <w:rFonts w:ascii="標楷體" w:eastAsia="標楷體" w:hint="eastAsia"/>
        </w:rPr>
        <w:t>；電冰箱一台以50公斤計；冷暖氣機一台以60公斤計；洗衣機一台以40公斤計；電風扇一台以4公斤計</w:t>
      </w:r>
      <w:r>
        <w:rPr>
          <w:rFonts w:ascii="標楷體" w:eastAsia="標楷體" w:hint="eastAsia"/>
        </w:rPr>
        <w:t>。</w:t>
      </w:r>
    </w:p>
    <w:p w:rsidR="00E42B8F" w:rsidRPr="00B37293" w:rsidRDefault="00E42B8F">
      <w:pPr>
        <w:pStyle w:val="a5"/>
        <w:ind w:left="1680" w:hanging="240"/>
        <w:rPr>
          <w:rFonts w:ascii="標楷體" w:eastAsia="標楷體" w:hint="eastAsia"/>
        </w:rPr>
      </w:pPr>
      <w:r>
        <w:rPr>
          <w:rFonts w:ascii="標楷體" w:eastAsia="標楷體" w:hint="eastAsia"/>
        </w:rPr>
        <w:t>4.</w:t>
      </w:r>
      <w:r w:rsidR="005C644D" w:rsidRPr="00B37293">
        <w:rPr>
          <w:rFonts w:ascii="標楷體" w:eastAsia="標楷體" w:hint="eastAsia"/>
        </w:rPr>
        <w:t>主機一台以12公斤計；顯示器一台以12公斤計；筆記型電腦一台以4公斤計；平板電腦一台以0.56公斤計；印表機一台</w:t>
      </w:r>
      <w:r w:rsidR="005C644D" w:rsidRPr="00B37293">
        <w:rPr>
          <w:rFonts w:ascii="標楷體" w:eastAsia="標楷體" w:hint="eastAsia"/>
        </w:rPr>
        <w:lastRenderedPageBreak/>
        <w:t>以8.5公斤計；鍵盤一件以0.8公斤計</w:t>
      </w:r>
      <w:r w:rsidRPr="00B37293">
        <w:rPr>
          <w:rFonts w:ascii="標楷體" w:eastAsia="標楷體" w:hint="eastAsia"/>
        </w:rPr>
        <w:t>。</w:t>
      </w:r>
    </w:p>
    <w:p w:rsidR="00E42B8F" w:rsidRDefault="00E42B8F">
      <w:pPr>
        <w:pStyle w:val="a5"/>
        <w:ind w:left="1680" w:hanging="240"/>
        <w:rPr>
          <w:rFonts w:ascii="標楷體" w:eastAsia="標楷體" w:hint="eastAsia"/>
        </w:rPr>
      </w:pPr>
      <w:r>
        <w:rPr>
          <w:rFonts w:ascii="標楷體" w:eastAsia="標楷體" w:hint="eastAsia"/>
        </w:rPr>
        <w:t>5.鉛蓄電池一個以17公斤計。</w:t>
      </w:r>
    </w:p>
    <w:p w:rsidR="00E42B8F" w:rsidRPr="008C139A" w:rsidRDefault="00E42B8F" w:rsidP="008C139A">
      <w:pPr>
        <w:pStyle w:val="a5"/>
        <w:ind w:left="480" w:hangingChars="200" w:hanging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五、資料蒐集方法及編製程序：依據本</w:t>
      </w:r>
      <w:r w:rsidR="006467BF">
        <w:rPr>
          <w:rFonts w:ascii="標楷體" w:eastAsia="標楷體" w:hint="eastAsia"/>
        </w:rPr>
        <w:t>市</w:t>
      </w:r>
      <w:r>
        <w:rPr>
          <w:rFonts w:ascii="標楷體" w:eastAsia="標楷體" w:hAnsi="標楷體" w:hint="eastAsia"/>
          <w:kern w:val="0"/>
        </w:rPr>
        <w:t>資源回收</w:t>
      </w:r>
      <w:r>
        <w:rPr>
          <w:rFonts w:ascii="標楷體" w:eastAsia="標楷體" w:hAnsi="標楷體" w:hint="eastAsia"/>
          <w:szCs w:val="24"/>
        </w:rPr>
        <w:t>資料編製。</w:t>
      </w:r>
    </w:p>
    <w:p w:rsidR="00E42B8F" w:rsidRPr="005C644D" w:rsidRDefault="00E42B8F">
      <w:pPr>
        <w:pStyle w:val="a5"/>
        <w:ind w:left="480" w:hangingChars="200" w:hanging="480"/>
        <w:rPr>
          <w:rFonts w:ascii="標楷體" w:eastAsia="標楷體" w:hAnsi="標楷體" w:hint="eastAsia"/>
          <w:szCs w:val="24"/>
        </w:rPr>
      </w:pPr>
      <w:r w:rsidRPr="005C644D">
        <w:rPr>
          <w:rFonts w:ascii="標楷體" w:eastAsia="標楷體" w:hAnsi="標楷體" w:hint="eastAsia"/>
          <w:szCs w:val="24"/>
        </w:rPr>
        <w:t>六、編送對象：本表編製1式</w:t>
      </w:r>
      <w:r w:rsidR="00A500D2">
        <w:rPr>
          <w:rFonts w:ascii="標楷體" w:eastAsia="標楷體" w:hAnsi="標楷體" w:hint="eastAsia"/>
          <w:szCs w:val="24"/>
        </w:rPr>
        <w:t>3</w:t>
      </w:r>
      <w:r w:rsidRPr="005C644D">
        <w:rPr>
          <w:rFonts w:ascii="標楷體" w:eastAsia="標楷體" w:hAnsi="標楷體" w:hint="eastAsia"/>
          <w:szCs w:val="24"/>
        </w:rPr>
        <w:t>份，</w:t>
      </w:r>
      <w:r w:rsidR="00A500D2" w:rsidRPr="00A500D2">
        <w:rPr>
          <w:rFonts w:ascii="標楷體" w:eastAsia="標楷體" w:hAnsi="標楷體" w:hint="eastAsia"/>
          <w:szCs w:val="24"/>
        </w:rPr>
        <w:t>1份送</w:t>
      </w:r>
      <w:r w:rsidR="00B37293">
        <w:rPr>
          <w:rFonts w:ascii="標楷體" w:eastAsia="標楷體" w:hAnsi="標楷體" w:hint="eastAsia"/>
          <w:szCs w:val="24"/>
        </w:rPr>
        <w:t>主計室</w:t>
      </w:r>
      <w:r w:rsidR="00A500D2" w:rsidRPr="00A500D2">
        <w:rPr>
          <w:rFonts w:ascii="標楷體" w:eastAsia="標楷體" w:hAnsi="標楷體" w:hint="eastAsia"/>
          <w:szCs w:val="24"/>
        </w:rPr>
        <w:t>，1份自存，1份送</w:t>
      </w:r>
      <w:r w:rsidR="00AF3E60">
        <w:rPr>
          <w:rFonts w:ascii="標楷體" w:eastAsia="標楷體" w:hAnsi="標楷體" w:hint="eastAsia"/>
          <w:szCs w:val="24"/>
        </w:rPr>
        <w:t>臺東縣政府環境保護局</w:t>
      </w:r>
      <w:r w:rsidR="00A500D2" w:rsidRPr="00A500D2">
        <w:rPr>
          <w:rFonts w:ascii="標楷體" w:eastAsia="標楷體" w:hAnsi="標楷體" w:hint="eastAsia"/>
          <w:szCs w:val="24"/>
        </w:rPr>
        <w:t>。</w:t>
      </w: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Pr="00A500D2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ascii="標楷體" w:eastAsia="標楷體" w:hint="eastAsia"/>
        </w:rPr>
      </w:pPr>
    </w:p>
    <w:p w:rsidR="00E42B8F" w:rsidRDefault="00E42B8F">
      <w:pPr>
        <w:pStyle w:val="a5"/>
        <w:ind w:left="480" w:hangingChars="200" w:hanging="480"/>
        <w:rPr>
          <w:rFonts w:hint="eastAsia"/>
        </w:rPr>
      </w:pPr>
    </w:p>
    <w:p w:rsidR="00E42B8F" w:rsidRDefault="00E42B8F"/>
    <w:sectPr w:rsidR="00E42B8F" w:rsidSect="0048578B">
      <w:pgSz w:w="16840" w:h="11907" w:orient="landscape" w:code="9"/>
      <w:pgMar w:top="1134" w:right="1134" w:bottom="1134" w:left="1134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F24" w:rsidRDefault="00E51F24" w:rsidP="005C644D">
      <w:r>
        <w:separator/>
      </w:r>
    </w:p>
  </w:endnote>
  <w:endnote w:type="continuationSeparator" w:id="0">
    <w:p w:rsidR="00E51F24" w:rsidRDefault="00E51F24" w:rsidP="005C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F24" w:rsidRDefault="00E51F24" w:rsidP="005C644D">
      <w:r>
        <w:separator/>
      </w:r>
    </w:p>
  </w:footnote>
  <w:footnote w:type="continuationSeparator" w:id="0">
    <w:p w:rsidR="00E51F24" w:rsidRDefault="00E51F24" w:rsidP="005C6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70B1A"/>
    <w:multiLevelType w:val="singleLevel"/>
    <w:tmpl w:val="509A965E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44D"/>
    <w:rsid w:val="003A79AF"/>
    <w:rsid w:val="003C37D2"/>
    <w:rsid w:val="0048578B"/>
    <w:rsid w:val="00561E92"/>
    <w:rsid w:val="005725EA"/>
    <w:rsid w:val="005913F0"/>
    <w:rsid w:val="005C644D"/>
    <w:rsid w:val="006467BF"/>
    <w:rsid w:val="006572A8"/>
    <w:rsid w:val="00696CE8"/>
    <w:rsid w:val="00863D0A"/>
    <w:rsid w:val="008C139A"/>
    <w:rsid w:val="00931E17"/>
    <w:rsid w:val="009C3F7B"/>
    <w:rsid w:val="00A451EB"/>
    <w:rsid w:val="00A500D2"/>
    <w:rsid w:val="00AE63CF"/>
    <w:rsid w:val="00AF3E60"/>
    <w:rsid w:val="00B1718F"/>
    <w:rsid w:val="00B37293"/>
    <w:rsid w:val="00B92552"/>
    <w:rsid w:val="00CD0A82"/>
    <w:rsid w:val="00DE419C"/>
    <w:rsid w:val="00E15FA8"/>
    <w:rsid w:val="00E42B8F"/>
    <w:rsid w:val="00E51F24"/>
    <w:rsid w:val="00EB1F10"/>
    <w:rsid w:val="00EC4890"/>
    <w:rsid w:val="00F2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6F020FB7-C2B0-4D56-AE15-2F95C7A5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pPr>
      <w:autoSpaceDE w:val="0"/>
      <w:autoSpaceDN w:val="0"/>
      <w:snapToGrid w:val="0"/>
      <w:spacing w:beforeLines="50" w:before="50" w:afterLines="50" w:after="50" w:line="240" w:lineRule="atLeast"/>
      <w:ind w:left="200" w:right="-1005" w:hangingChars="200" w:hanging="200"/>
    </w:pPr>
    <w:rPr>
      <w:rFonts w:ascii="標楷體" w:eastAsia="標楷體"/>
      <w:b/>
      <w:bCs/>
      <w:caps/>
      <w:szCs w:val="28"/>
    </w:rPr>
  </w:style>
  <w:style w:type="paragraph" w:styleId="2">
    <w:name w:val="toc 2"/>
    <w:basedOn w:val="a"/>
    <w:next w:val="a"/>
    <w:autoRedefine/>
    <w:semiHidden/>
    <w:pPr>
      <w:autoSpaceDE w:val="0"/>
      <w:autoSpaceDN w:val="0"/>
      <w:adjustRightInd w:val="0"/>
      <w:ind w:leftChars="200" w:left="480"/>
      <w:textAlignment w:val="baseline"/>
    </w:pPr>
    <w:rPr>
      <w:rFonts w:ascii="標楷體" w:eastAsia="標楷體"/>
      <w:kern w:val="0"/>
      <w:sz w:val="20"/>
      <w:szCs w:val="20"/>
    </w:rPr>
  </w:style>
  <w:style w:type="paragraph" w:styleId="3">
    <w:name w:val="toc 3"/>
    <w:basedOn w:val="a"/>
    <w:next w:val="a"/>
    <w:autoRedefine/>
    <w:semiHidden/>
    <w:pPr>
      <w:autoSpaceDE w:val="0"/>
      <w:autoSpaceDN w:val="0"/>
      <w:adjustRightInd w:val="0"/>
      <w:ind w:leftChars="400" w:left="1400" w:hangingChars="1000" w:hanging="1000"/>
      <w:textAlignment w:val="baseline"/>
    </w:pPr>
    <w:rPr>
      <w:rFonts w:ascii="標楷體" w:eastAsia="標楷體"/>
      <w:kern w:val="0"/>
      <w:sz w:val="20"/>
      <w:szCs w:val="20"/>
    </w:rPr>
  </w:style>
  <w:style w:type="paragraph" w:customStyle="1" w:styleId="a3">
    <w:name w:val="(一)內文"/>
    <w:autoRedefine/>
    <w:pPr>
      <w:spacing w:line="400" w:lineRule="exact"/>
      <w:ind w:leftChars="300" w:left="300" w:firstLineChars="200" w:firstLine="200"/>
    </w:pPr>
    <w:rPr>
      <w:rFonts w:eastAsia="標楷體"/>
      <w:sz w:val="28"/>
    </w:rPr>
  </w:style>
  <w:style w:type="paragraph" w:styleId="a4">
    <w:name w:val="table of figures"/>
    <w:aliases w:val="表目錄"/>
    <w:basedOn w:val="a"/>
    <w:next w:val="a"/>
    <w:semiHidden/>
    <w:pPr>
      <w:jc w:val="center"/>
    </w:pPr>
    <w:rPr>
      <w:rFonts w:eastAsia="標楷體"/>
    </w:rPr>
  </w:style>
  <w:style w:type="paragraph" w:customStyle="1" w:styleId="10">
    <w:name w:val="10內文"/>
    <w:basedOn w:val="a"/>
    <w:pPr>
      <w:jc w:val="center"/>
    </w:pPr>
    <w:rPr>
      <w:b/>
      <w:bCs/>
      <w:sz w:val="20"/>
    </w:rPr>
  </w:style>
  <w:style w:type="paragraph" w:styleId="a5">
    <w:name w:val="Plain Text"/>
    <w:basedOn w:val="a"/>
    <w:semiHidden/>
    <w:rPr>
      <w:rFonts w:ascii="細明體" w:eastAsia="細明體" w:hAnsi="Courier New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semiHidden/>
    <w:rsid w:val="005C644D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5C6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semiHidden/>
    <w:rsid w:val="005C644D"/>
    <w:rPr>
      <w:kern w:val="2"/>
    </w:rPr>
  </w:style>
  <w:style w:type="paragraph" w:styleId="aa">
    <w:name w:val="Balloon Text"/>
    <w:basedOn w:val="a"/>
    <w:link w:val="ab"/>
    <w:uiPriority w:val="99"/>
    <w:semiHidden/>
    <w:unhideWhenUsed/>
    <w:rsid w:val="003A79AF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3A79AF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1833</Words>
  <Characters>97</Characters>
  <Application>Microsoft Office Word</Application>
  <DocSecurity>0</DocSecurity>
  <Lines>1</Lines>
  <Paragraphs>3</Paragraphs>
  <ScaleCrop>false</ScaleCrop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_____縣(市)執行機關資源回收成果統計編製說明</dc:title>
  <dc:subject/>
  <dc:creator>mrhuang</dc:creator>
  <cp:keywords/>
  <dc:description/>
  <cp:lastModifiedBy>acnt</cp:lastModifiedBy>
  <cp:revision>2</cp:revision>
  <cp:lastPrinted>2015-09-27T09:43:00Z</cp:lastPrinted>
  <dcterms:created xsi:type="dcterms:W3CDTF">2018-04-30T01:14:00Z</dcterms:created>
  <dcterms:modified xsi:type="dcterms:W3CDTF">2018-04-30T01:14:00Z</dcterms:modified>
</cp:coreProperties>
</file>